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E8DA" w14:textId="77777777" w:rsidR="00121C0B" w:rsidRPr="009264FB" w:rsidRDefault="00121C0B">
      <w:pPr>
        <w:rPr>
          <w:rFonts w:ascii="Arial" w:hAnsi="Arial" w:cs="Arial"/>
          <w:i/>
          <w:color w:val="AA1E2E"/>
          <w:szCs w:val="24"/>
        </w:rPr>
      </w:pPr>
      <w:r w:rsidRPr="009264FB">
        <w:rPr>
          <w:rFonts w:ascii="Arial" w:hAnsi="Arial" w:cs="Arial"/>
          <w:i/>
          <w:color w:val="AA1E2E"/>
          <w:szCs w:val="24"/>
        </w:rPr>
        <w:t>Heritage Regulations 2017</w:t>
      </w:r>
      <w:r w:rsidRPr="009264FB">
        <w:rPr>
          <w:rFonts w:ascii="Arial" w:hAnsi="Arial" w:cs="Arial"/>
          <w:i/>
          <w:color w:val="AA1E2E"/>
          <w:szCs w:val="24"/>
        </w:rPr>
        <w:tab/>
      </w:r>
    </w:p>
    <w:p w14:paraId="5CF1E8DB" w14:textId="6521B53F" w:rsidR="00121C0B" w:rsidRPr="009264FB" w:rsidRDefault="003B6515" w:rsidP="1ABBA278">
      <w:pPr>
        <w:rPr>
          <w:rFonts w:ascii="Arial" w:hAnsi="Arial" w:cs="Arial"/>
          <w:b/>
          <w:bCs/>
          <w:color w:val="AA1E2E"/>
          <w:sz w:val="24"/>
          <w:szCs w:val="24"/>
        </w:rPr>
      </w:pPr>
      <w:r w:rsidRPr="009264FB">
        <w:rPr>
          <w:rFonts w:ascii="Arial" w:hAnsi="Arial" w:cs="Arial"/>
          <w:b/>
          <w:bCs/>
          <w:color w:val="AA1E2E"/>
          <w:sz w:val="24"/>
          <w:szCs w:val="24"/>
        </w:rPr>
        <w:t>Fee Schedule – 20</w:t>
      </w:r>
      <w:r w:rsidR="002504D6" w:rsidRPr="009264FB">
        <w:rPr>
          <w:rFonts w:ascii="Arial" w:hAnsi="Arial" w:cs="Arial"/>
          <w:b/>
          <w:bCs/>
          <w:color w:val="AA1E2E"/>
          <w:sz w:val="24"/>
          <w:szCs w:val="24"/>
        </w:rPr>
        <w:t>2</w:t>
      </w:r>
      <w:r w:rsidR="35385FEC" w:rsidRPr="009264FB">
        <w:rPr>
          <w:rFonts w:ascii="Arial" w:hAnsi="Arial" w:cs="Arial"/>
          <w:b/>
          <w:bCs/>
          <w:color w:val="AA1E2E"/>
          <w:sz w:val="24"/>
          <w:szCs w:val="24"/>
        </w:rPr>
        <w:t>1</w:t>
      </w:r>
      <w:r w:rsidRPr="009264FB">
        <w:rPr>
          <w:rFonts w:ascii="Arial" w:hAnsi="Arial" w:cs="Arial"/>
          <w:b/>
          <w:bCs/>
          <w:color w:val="AA1E2E"/>
          <w:sz w:val="24"/>
          <w:szCs w:val="24"/>
        </w:rPr>
        <w:t>-</w:t>
      </w:r>
      <w:r w:rsidR="0076395F" w:rsidRPr="009264FB">
        <w:rPr>
          <w:rFonts w:ascii="Arial" w:hAnsi="Arial" w:cs="Arial"/>
          <w:b/>
          <w:bCs/>
          <w:color w:val="AA1E2E"/>
          <w:sz w:val="24"/>
          <w:szCs w:val="24"/>
        </w:rPr>
        <w:t>2</w:t>
      </w:r>
      <w:r w:rsidR="68EF1D73" w:rsidRPr="009264FB">
        <w:rPr>
          <w:rFonts w:ascii="Arial" w:hAnsi="Arial" w:cs="Arial"/>
          <w:b/>
          <w:bCs/>
          <w:color w:val="AA1E2E"/>
          <w:sz w:val="24"/>
          <w:szCs w:val="24"/>
        </w:rPr>
        <w:t>2</w:t>
      </w:r>
    </w:p>
    <w:p w14:paraId="5CF1E8DC" w14:textId="54E724CB" w:rsidR="000A6209" w:rsidRPr="009C6FE7" w:rsidRDefault="00121C0B" w:rsidP="1ABBA278">
      <w:pPr>
        <w:rPr>
          <w:rFonts w:ascii="Arial" w:hAnsi="Arial" w:cs="Arial"/>
          <w:color w:val="323E48"/>
        </w:rPr>
      </w:pPr>
      <w:r w:rsidRPr="009C6FE7">
        <w:rPr>
          <w:rFonts w:ascii="Arial" w:hAnsi="Arial" w:cs="Arial"/>
          <w:color w:val="323E48"/>
        </w:rPr>
        <w:t>The value of a fee unit for the finan</w:t>
      </w:r>
      <w:r w:rsidR="003B6515" w:rsidRPr="009C6FE7">
        <w:rPr>
          <w:rFonts w:ascii="Arial" w:hAnsi="Arial" w:cs="Arial"/>
          <w:color w:val="323E48"/>
        </w:rPr>
        <w:t>cial year commencing 1 July 20</w:t>
      </w:r>
      <w:r w:rsidR="002504D6" w:rsidRPr="009C6FE7">
        <w:rPr>
          <w:rFonts w:ascii="Arial" w:hAnsi="Arial" w:cs="Arial"/>
          <w:color w:val="323E48"/>
        </w:rPr>
        <w:t>2</w:t>
      </w:r>
      <w:r w:rsidR="15A7410D" w:rsidRPr="009C6FE7">
        <w:rPr>
          <w:rFonts w:ascii="Arial" w:hAnsi="Arial" w:cs="Arial"/>
          <w:color w:val="323E48"/>
        </w:rPr>
        <w:t>1</w:t>
      </w:r>
      <w:r w:rsidR="003B6515" w:rsidRPr="009C6FE7">
        <w:rPr>
          <w:rFonts w:ascii="Arial" w:hAnsi="Arial" w:cs="Arial"/>
          <w:color w:val="323E48"/>
        </w:rPr>
        <w:t xml:space="preserve"> is $1</w:t>
      </w:r>
      <w:r w:rsidR="21D77A49" w:rsidRPr="009C6FE7">
        <w:rPr>
          <w:rFonts w:ascii="Arial" w:hAnsi="Arial" w:cs="Arial"/>
          <w:color w:val="323E48"/>
        </w:rPr>
        <w:t>5</w:t>
      </w:r>
      <w:r w:rsidR="003B6515" w:rsidRPr="009C6FE7">
        <w:rPr>
          <w:rFonts w:ascii="Arial" w:hAnsi="Arial" w:cs="Arial"/>
          <w:color w:val="323E48"/>
        </w:rPr>
        <w:t>.</w:t>
      </w:r>
      <w:r w:rsidR="5049B05B" w:rsidRPr="009C6FE7">
        <w:rPr>
          <w:rFonts w:ascii="Arial" w:hAnsi="Arial" w:cs="Arial"/>
          <w:color w:val="323E48"/>
        </w:rPr>
        <w:t>03</w:t>
      </w:r>
      <w:r w:rsidRPr="009C6FE7">
        <w:rPr>
          <w:rFonts w:ascii="Arial" w:hAnsi="Arial" w:cs="Arial"/>
          <w:color w:val="323E48"/>
        </w:rPr>
        <w:t xml:space="preserve">, as set by the </w:t>
      </w:r>
      <w:r w:rsidRPr="009C6FE7">
        <w:rPr>
          <w:rFonts w:ascii="Arial" w:hAnsi="Arial" w:cs="Arial"/>
          <w:i/>
          <w:iCs/>
          <w:color w:val="323E48"/>
        </w:rPr>
        <w:t>Monetary Units Act 2004</w:t>
      </w:r>
      <w:r w:rsidRPr="009C6FE7">
        <w:rPr>
          <w:rFonts w:ascii="Arial" w:hAnsi="Arial" w:cs="Arial"/>
          <w:color w:val="323E48"/>
        </w:rPr>
        <w:t>.</w:t>
      </w:r>
    </w:p>
    <w:p w14:paraId="5CF1E8DD" w14:textId="77777777" w:rsidR="00121C0B" w:rsidRPr="009C6FE7" w:rsidRDefault="000A6209">
      <w:pPr>
        <w:rPr>
          <w:rFonts w:ascii="Arial" w:hAnsi="Arial" w:cs="Arial"/>
          <w:color w:val="323E48"/>
          <w:szCs w:val="24"/>
        </w:rPr>
      </w:pPr>
      <w:r w:rsidRPr="009C6FE7">
        <w:rPr>
          <w:rFonts w:ascii="Arial" w:hAnsi="Arial" w:cs="Arial"/>
          <w:color w:val="323E48"/>
          <w:szCs w:val="24"/>
        </w:rPr>
        <w:t xml:space="preserve">The </w:t>
      </w:r>
      <w:r w:rsidRPr="009264FB">
        <w:rPr>
          <w:rFonts w:ascii="Arial" w:hAnsi="Arial" w:cs="Arial"/>
          <w:i/>
          <w:iCs/>
          <w:color w:val="323E48"/>
          <w:szCs w:val="24"/>
        </w:rPr>
        <w:t>Heritage Regulations 2017</w:t>
      </w:r>
      <w:r w:rsidRPr="009C6FE7">
        <w:rPr>
          <w:rFonts w:ascii="Arial" w:hAnsi="Arial" w:cs="Arial"/>
          <w:color w:val="323E48"/>
          <w:szCs w:val="24"/>
        </w:rPr>
        <w:t xml:space="preserve"> provide for fees to be waived in certain circumstances. </w:t>
      </w:r>
      <w:r w:rsidR="00121C0B" w:rsidRPr="009C6FE7">
        <w:rPr>
          <w:rFonts w:ascii="Arial" w:hAnsi="Arial" w:cs="Arial"/>
          <w:color w:val="323E48"/>
          <w:szCs w:val="24"/>
        </w:rPr>
        <w:tab/>
      </w:r>
    </w:p>
    <w:tbl>
      <w:tblPr>
        <w:tblStyle w:val="TableGrid"/>
        <w:tblW w:w="14142" w:type="dxa"/>
        <w:tblLook w:val="04A0" w:firstRow="1" w:lastRow="0" w:firstColumn="1" w:lastColumn="0" w:noHBand="0" w:noVBand="1"/>
      </w:tblPr>
      <w:tblGrid>
        <w:gridCol w:w="11732"/>
        <w:gridCol w:w="2410"/>
      </w:tblGrid>
      <w:tr w:rsidR="003167B3" w:rsidRPr="003167B3" w14:paraId="5CF1E8E0" w14:textId="77777777" w:rsidTr="008E4815">
        <w:tc>
          <w:tcPr>
            <w:tcW w:w="11732" w:type="dxa"/>
            <w:shd w:val="clear" w:color="auto" w:fill="AA1E2E"/>
          </w:tcPr>
          <w:p w14:paraId="5CF1E8DE" w14:textId="0CF44D0B" w:rsidR="003167B3" w:rsidRPr="009264FB" w:rsidRDefault="003167B3">
            <w:pPr>
              <w:rPr>
                <w:rFonts w:ascii="Arial" w:hAnsi="Arial" w:cs="Arial"/>
                <w:b/>
                <w:color w:val="AA1E2E"/>
                <w:szCs w:val="24"/>
              </w:rPr>
            </w:pPr>
            <w:r w:rsidRPr="009264FB">
              <w:rPr>
                <w:rFonts w:ascii="Arial" w:hAnsi="Arial" w:cs="Arial"/>
                <w:b/>
                <w:color w:val="FFFFFF" w:themeColor="background1"/>
                <w:szCs w:val="24"/>
              </w:rPr>
              <w:t>Fee</w:t>
            </w:r>
            <w:r w:rsidR="009264FB" w:rsidRPr="009264FB">
              <w:rPr>
                <w:rFonts w:ascii="Arial" w:hAnsi="Arial" w:cs="Arial"/>
                <w:b/>
                <w:color w:val="FFFFFF" w:themeColor="background1"/>
                <w:szCs w:val="24"/>
              </w:rPr>
              <w:t xml:space="preserve"> </w:t>
            </w:r>
          </w:p>
        </w:tc>
        <w:tc>
          <w:tcPr>
            <w:tcW w:w="2410" w:type="dxa"/>
            <w:shd w:val="clear" w:color="auto" w:fill="AA1E2E"/>
          </w:tcPr>
          <w:p w14:paraId="5CF1E8DF" w14:textId="57FD5D20" w:rsidR="003167B3" w:rsidRPr="004350A2" w:rsidRDefault="003B6515" w:rsidP="003167B3">
            <w:pPr>
              <w:jc w:val="center"/>
              <w:rPr>
                <w:rFonts w:ascii="Arial" w:hAnsi="Arial" w:cs="Arial"/>
                <w:b/>
                <w:color w:val="FFFFFF" w:themeColor="background1"/>
                <w:szCs w:val="24"/>
              </w:rPr>
            </w:pPr>
            <w:r>
              <w:rPr>
                <w:rFonts w:ascii="Arial" w:hAnsi="Arial" w:cs="Arial"/>
                <w:b/>
                <w:color w:val="FFFFFF" w:themeColor="background1"/>
                <w:szCs w:val="24"/>
              </w:rPr>
              <w:t>Fee amount 20</w:t>
            </w:r>
            <w:r w:rsidR="007C34E0">
              <w:rPr>
                <w:rFonts w:ascii="Arial" w:hAnsi="Arial" w:cs="Arial"/>
                <w:b/>
                <w:color w:val="FFFFFF" w:themeColor="background1"/>
                <w:szCs w:val="24"/>
              </w:rPr>
              <w:t>20</w:t>
            </w:r>
            <w:r w:rsidR="00864896">
              <w:rPr>
                <w:rFonts w:ascii="Arial" w:hAnsi="Arial" w:cs="Arial"/>
                <w:b/>
                <w:color w:val="FFFFFF" w:themeColor="background1"/>
                <w:szCs w:val="24"/>
              </w:rPr>
              <w:t>-2</w:t>
            </w:r>
            <w:r w:rsidR="007C34E0">
              <w:rPr>
                <w:rFonts w:ascii="Arial" w:hAnsi="Arial" w:cs="Arial"/>
                <w:b/>
                <w:color w:val="FFFFFF" w:themeColor="background1"/>
                <w:szCs w:val="24"/>
              </w:rPr>
              <w:t>1</w:t>
            </w:r>
          </w:p>
        </w:tc>
      </w:tr>
      <w:tr w:rsidR="003167B3" w:rsidRPr="003167B3" w14:paraId="5CF1E8E3" w14:textId="77777777" w:rsidTr="2B717C5A">
        <w:tc>
          <w:tcPr>
            <w:tcW w:w="11732" w:type="dxa"/>
            <w:tcBorders>
              <w:bottom w:val="single" w:sz="4" w:space="0" w:color="auto"/>
            </w:tcBorders>
          </w:tcPr>
          <w:p w14:paraId="5CF1E8E1" w14:textId="77777777" w:rsidR="003167B3" w:rsidRPr="009C6FE7" w:rsidRDefault="003167B3">
            <w:pPr>
              <w:rPr>
                <w:rFonts w:ascii="Arial" w:hAnsi="Arial" w:cs="Arial"/>
                <w:color w:val="323E48"/>
                <w:szCs w:val="24"/>
              </w:rPr>
            </w:pPr>
            <w:r w:rsidRPr="009C6FE7">
              <w:rPr>
                <w:rFonts w:ascii="Arial" w:hAnsi="Arial" w:cs="Arial"/>
                <w:color w:val="323E48"/>
                <w:szCs w:val="24"/>
              </w:rPr>
              <w:t>Review of Executive Director’s refusal of nomination</w:t>
            </w:r>
          </w:p>
        </w:tc>
        <w:tc>
          <w:tcPr>
            <w:tcW w:w="2410" w:type="dxa"/>
            <w:tcBorders>
              <w:bottom w:val="single" w:sz="4" w:space="0" w:color="auto"/>
            </w:tcBorders>
          </w:tcPr>
          <w:p w14:paraId="5CF1E8E2" w14:textId="44080553" w:rsidR="003167B3" w:rsidRPr="009C6FE7" w:rsidRDefault="003B6515" w:rsidP="1ABBA278">
            <w:pPr>
              <w:jc w:val="right"/>
              <w:rPr>
                <w:rFonts w:ascii="Arial" w:hAnsi="Arial" w:cs="Arial"/>
                <w:color w:val="323E48"/>
              </w:rPr>
            </w:pPr>
            <w:r w:rsidRPr="009C6FE7">
              <w:rPr>
                <w:rFonts w:ascii="Arial" w:hAnsi="Arial" w:cs="Arial"/>
                <w:color w:val="323E48"/>
              </w:rPr>
              <w:t>$3</w:t>
            </w:r>
            <w:r w:rsidR="00864896" w:rsidRPr="009C6FE7">
              <w:rPr>
                <w:rFonts w:ascii="Arial" w:hAnsi="Arial" w:cs="Arial"/>
                <w:color w:val="323E48"/>
              </w:rPr>
              <w:t>7</w:t>
            </w:r>
            <w:r w:rsidR="4C3AD6C4" w:rsidRPr="009C6FE7">
              <w:rPr>
                <w:rFonts w:ascii="Arial" w:hAnsi="Arial" w:cs="Arial"/>
                <w:color w:val="323E48"/>
              </w:rPr>
              <w:t>5</w:t>
            </w:r>
            <w:r w:rsidRPr="009C6FE7">
              <w:rPr>
                <w:rFonts w:ascii="Arial" w:hAnsi="Arial" w:cs="Arial"/>
                <w:color w:val="323E48"/>
              </w:rPr>
              <w:t>.</w:t>
            </w:r>
            <w:r w:rsidR="24B0A665" w:rsidRPr="009C6FE7">
              <w:rPr>
                <w:rFonts w:ascii="Arial" w:hAnsi="Arial" w:cs="Arial"/>
                <w:color w:val="323E48"/>
              </w:rPr>
              <w:t>8</w:t>
            </w:r>
            <w:r w:rsidR="08F9B2D2" w:rsidRPr="009C6FE7">
              <w:rPr>
                <w:rFonts w:ascii="Arial" w:hAnsi="Arial" w:cs="Arial"/>
                <w:color w:val="323E48"/>
              </w:rPr>
              <w:t>0</w:t>
            </w:r>
          </w:p>
        </w:tc>
      </w:tr>
      <w:tr w:rsidR="003167B3" w:rsidRPr="003167B3" w14:paraId="5CF1E8E5" w14:textId="77777777" w:rsidTr="009264FB">
        <w:trPr>
          <w:trHeight w:val="252"/>
        </w:trPr>
        <w:tc>
          <w:tcPr>
            <w:tcW w:w="14142" w:type="dxa"/>
            <w:gridSpan w:val="2"/>
            <w:tcBorders>
              <w:bottom w:val="nil"/>
            </w:tcBorders>
            <w:shd w:val="clear" w:color="auto" w:fill="323E48"/>
          </w:tcPr>
          <w:p w14:paraId="5CF1E8E4" w14:textId="7484D4E4" w:rsidR="003167B3" w:rsidRPr="009264FB" w:rsidRDefault="003167B3" w:rsidP="003167B3">
            <w:pPr>
              <w:rPr>
                <w:rFonts w:ascii="Arial" w:hAnsi="Arial" w:cs="Arial"/>
                <w:b/>
                <w:color w:val="FFFFFF" w:themeColor="background1"/>
                <w:szCs w:val="24"/>
              </w:rPr>
            </w:pPr>
            <w:r w:rsidRPr="009264FB">
              <w:rPr>
                <w:rFonts w:ascii="Arial" w:hAnsi="Arial" w:cs="Arial"/>
                <w:b/>
                <w:color w:val="FFFFFF" w:themeColor="background1"/>
                <w:szCs w:val="24"/>
              </w:rPr>
              <w:t>Permit reviews</w:t>
            </w:r>
            <w:r w:rsidR="009264FB" w:rsidRPr="009264FB">
              <w:rPr>
                <w:rFonts w:ascii="Arial" w:hAnsi="Arial" w:cs="Arial"/>
                <w:b/>
                <w:color w:val="FFFFFF" w:themeColor="background1"/>
                <w:szCs w:val="24"/>
              </w:rPr>
              <w:t xml:space="preserve"> </w:t>
            </w:r>
          </w:p>
        </w:tc>
      </w:tr>
      <w:tr w:rsidR="000A6209" w:rsidRPr="003167B3" w14:paraId="5CF1E8E7" w14:textId="77777777" w:rsidTr="009264FB">
        <w:trPr>
          <w:trHeight w:val="252"/>
        </w:trPr>
        <w:tc>
          <w:tcPr>
            <w:tcW w:w="14142" w:type="dxa"/>
            <w:gridSpan w:val="2"/>
            <w:tcBorders>
              <w:top w:val="nil"/>
            </w:tcBorders>
            <w:shd w:val="clear" w:color="auto" w:fill="B7B8BA"/>
          </w:tcPr>
          <w:p w14:paraId="5CF1E8E6" w14:textId="1A0605D9" w:rsidR="000A6209" w:rsidRPr="009264FB" w:rsidRDefault="000A6209" w:rsidP="003167B3">
            <w:pPr>
              <w:rPr>
                <w:rFonts w:ascii="Arial" w:hAnsi="Arial" w:cs="Arial"/>
                <w:b/>
                <w:color w:val="323E48"/>
                <w:szCs w:val="24"/>
              </w:rPr>
            </w:pPr>
            <w:r w:rsidRPr="009264FB">
              <w:rPr>
                <w:rFonts w:ascii="Arial" w:hAnsi="Arial" w:cs="Arial"/>
                <w:i/>
                <w:color w:val="323E48"/>
                <w:szCs w:val="24"/>
              </w:rPr>
              <w:t>The below Permit Review fees are set at 200% of the permit application fee paid.</w:t>
            </w:r>
            <w:r w:rsidR="009264FB" w:rsidRPr="009264FB">
              <w:rPr>
                <w:rFonts w:ascii="Arial" w:hAnsi="Arial" w:cs="Arial"/>
                <w:i/>
                <w:color w:val="323E48"/>
                <w:szCs w:val="24"/>
              </w:rPr>
              <w:t xml:space="preserve"> </w:t>
            </w:r>
          </w:p>
        </w:tc>
      </w:tr>
      <w:tr w:rsidR="003167B3" w:rsidRPr="003167B3" w14:paraId="5CF1E8EB" w14:textId="77777777" w:rsidTr="2B717C5A">
        <w:tc>
          <w:tcPr>
            <w:tcW w:w="11732" w:type="dxa"/>
          </w:tcPr>
          <w:p w14:paraId="5CF1E8E8"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the subdivision, consolidation or realignment of a boundary of a registered place or the subdivision of a building on that registered place</w:t>
            </w:r>
          </w:p>
        </w:tc>
        <w:tc>
          <w:tcPr>
            <w:tcW w:w="2410" w:type="dxa"/>
          </w:tcPr>
          <w:p w14:paraId="5CF1E8E9" w14:textId="02FFD073" w:rsidR="003167B3" w:rsidRPr="009C6FE7" w:rsidRDefault="003B6515" w:rsidP="1ABBA278">
            <w:pPr>
              <w:jc w:val="right"/>
              <w:rPr>
                <w:rFonts w:ascii="Arial" w:hAnsi="Arial" w:cs="Arial"/>
                <w:color w:val="323E48"/>
              </w:rPr>
            </w:pPr>
            <w:r w:rsidRPr="009C6FE7">
              <w:rPr>
                <w:rFonts w:ascii="Arial" w:hAnsi="Arial" w:cs="Arial"/>
                <w:color w:val="323E48"/>
              </w:rPr>
              <w:t>$2,</w:t>
            </w:r>
            <w:r w:rsidR="00864896" w:rsidRPr="009C6FE7">
              <w:rPr>
                <w:rFonts w:ascii="Arial" w:hAnsi="Arial" w:cs="Arial"/>
                <w:color w:val="323E48"/>
              </w:rPr>
              <w:t>962</w:t>
            </w:r>
            <w:r w:rsidR="1F444EB7" w:rsidRPr="009C6FE7">
              <w:rPr>
                <w:rFonts w:ascii="Arial" w:hAnsi="Arial" w:cs="Arial"/>
                <w:color w:val="323E48"/>
              </w:rPr>
              <w:t>.00</w:t>
            </w:r>
          </w:p>
          <w:p w14:paraId="5CF1E8EA" w14:textId="77777777" w:rsidR="003167B3" w:rsidRPr="009C6FE7" w:rsidRDefault="003167B3" w:rsidP="003167B3">
            <w:pPr>
              <w:jc w:val="right"/>
              <w:rPr>
                <w:rFonts w:ascii="Arial" w:hAnsi="Arial" w:cs="Arial"/>
                <w:color w:val="323E48"/>
                <w:szCs w:val="24"/>
              </w:rPr>
            </w:pPr>
          </w:p>
        </w:tc>
      </w:tr>
      <w:tr w:rsidR="003167B3" w:rsidRPr="003167B3" w14:paraId="5CF1E8EF" w14:textId="77777777" w:rsidTr="2B717C5A">
        <w:tc>
          <w:tcPr>
            <w:tcW w:w="11732" w:type="dxa"/>
          </w:tcPr>
          <w:p w14:paraId="5CF1E8EC"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less than $10 000</w:t>
            </w:r>
          </w:p>
        </w:tc>
        <w:tc>
          <w:tcPr>
            <w:tcW w:w="2410" w:type="dxa"/>
          </w:tcPr>
          <w:p w14:paraId="5CF1E8ED" w14:textId="3BBE3726" w:rsidR="003167B3" w:rsidRPr="009C6FE7" w:rsidRDefault="003B6515" w:rsidP="1ABBA278">
            <w:pPr>
              <w:jc w:val="right"/>
              <w:rPr>
                <w:rFonts w:ascii="Arial" w:hAnsi="Arial" w:cs="Arial"/>
                <w:color w:val="323E48"/>
              </w:rPr>
            </w:pPr>
            <w:r w:rsidRPr="009C6FE7">
              <w:rPr>
                <w:rFonts w:ascii="Arial" w:hAnsi="Arial" w:cs="Arial"/>
                <w:color w:val="323E48"/>
              </w:rPr>
              <w:t>$</w:t>
            </w:r>
            <w:r w:rsidR="1B0B8B42" w:rsidRPr="009C6FE7">
              <w:rPr>
                <w:rFonts w:ascii="Arial" w:hAnsi="Arial" w:cs="Arial"/>
                <w:color w:val="323E48"/>
              </w:rPr>
              <w:t>601</w:t>
            </w:r>
            <w:r w:rsidR="00864896" w:rsidRPr="009C6FE7">
              <w:rPr>
                <w:rFonts w:ascii="Arial" w:hAnsi="Arial" w:cs="Arial"/>
                <w:color w:val="323E48"/>
              </w:rPr>
              <w:t>.</w:t>
            </w:r>
            <w:r w:rsidR="4F83961C" w:rsidRPr="009C6FE7">
              <w:rPr>
                <w:rFonts w:ascii="Arial" w:hAnsi="Arial" w:cs="Arial"/>
                <w:color w:val="323E48"/>
              </w:rPr>
              <w:t>2</w:t>
            </w:r>
            <w:r w:rsidR="00864896" w:rsidRPr="009C6FE7">
              <w:rPr>
                <w:rFonts w:ascii="Arial" w:hAnsi="Arial" w:cs="Arial"/>
                <w:color w:val="323E48"/>
              </w:rPr>
              <w:t>0</w:t>
            </w:r>
          </w:p>
          <w:p w14:paraId="5CF1E8EE" w14:textId="77777777" w:rsidR="003167B3" w:rsidRPr="009C6FE7" w:rsidRDefault="003167B3" w:rsidP="1ABBA278">
            <w:pPr>
              <w:jc w:val="right"/>
              <w:rPr>
                <w:rFonts w:ascii="Arial" w:hAnsi="Arial" w:cs="Arial"/>
                <w:color w:val="323E48"/>
              </w:rPr>
            </w:pPr>
          </w:p>
        </w:tc>
      </w:tr>
      <w:tr w:rsidR="003167B3" w:rsidRPr="003167B3" w14:paraId="5CF1E8F3" w14:textId="77777777" w:rsidTr="2B717C5A">
        <w:tc>
          <w:tcPr>
            <w:tcW w:w="11732" w:type="dxa"/>
          </w:tcPr>
          <w:p w14:paraId="5CF1E8F0"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$10 000 or more but less than $20 000</w:t>
            </w:r>
          </w:p>
        </w:tc>
        <w:tc>
          <w:tcPr>
            <w:tcW w:w="2410" w:type="dxa"/>
          </w:tcPr>
          <w:p w14:paraId="5CF1E8F1" w14:textId="54575702" w:rsidR="003167B3" w:rsidRPr="009C6FE7" w:rsidRDefault="003B6515" w:rsidP="1ABBA278">
            <w:pPr>
              <w:jc w:val="right"/>
              <w:rPr>
                <w:rFonts w:ascii="Arial" w:hAnsi="Arial" w:cs="Arial"/>
                <w:color w:val="323E48"/>
              </w:rPr>
            </w:pPr>
            <w:r w:rsidRPr="009C6FE7">
              <w:rPr>
                <w:rFonts w:ascii="Arial" w:hAnsi="Arial" w:cs="Arial"/>
                <w:color w:val="323E48"/>
              </w:rPr>
              <w:t>$</w:t>
            </w:r>
            <w:r w:rsidR="3824DDED" w:rsidRPr="009C6FE7">
              <w:rPr>
                <w:rFonts w:ascii="Arial" w:hAnsi="Arial" w:cs="Arial"/>
                <w:color w:val="323E48"/>
              </w:rPr>
              <w:t>2,2</w:t>
            </w:r>
            <w:r w:rsidR="1DC8F13D" w:rsidRPr="009C6FE7">
              <w:rPr>
                <w:rFonts w:ascii="Arial" w:hAnsi="Arial" w:cs="Arial"/>
                <w:color w:val="323E48"/>
              </w:rPr>
              <w:t>54</w:t>
            </w:r>
            <w:r w:rsidR="3824DDED" w:rsidRPr="009C6FE7">
              <w:rPr>
                <w:rFonts w:ascii="Arial" w:hAnsi="Arial" w:cs="Arial"/>
                <w:color w:val="323E48"/>
              </w:rPr>
              <w:t>.</w:t>
            </w:r>
            <w:r w:rsidR="4701F4B6" w:rsidRPr="009C6FE7">
              <w:rPr>
                <w:rFonts w:ascii="Arial" w:hAnsi="Arial" w:cs="Arial"/>
                <w:color w:val="323E48"/>
              </w:rPr>
              <w:t>5</w:t>
            </w:r>
            <w:r w:rsidR="79C1151B" w:rsidRPr="009C6FE7">
              <w:rPr>
                <w:rFonts w:ascii="Arial" w:hAnsi="Arial" w:cs="Arial"/>
                <w:color w:val="323E48"/>
              </w:rPr>
              <w:t>0</w:t>
            </w:r>
          </w:p>
          <w:p w14:paraId="5CF1E8F2" w14:textId="77777777" w:rsidR="003167B3" w:rsidRPr="009C6FE7" w:rsidRDefault="003167B3" w:rsidP="1ABBA278">
            <w:pPr>
              <w:jc w:val="right"/>
              <w:rPr>
                <w:rFonts w:ascii="Arial" w:hAnsi="Arial" w:cs="Arial"/>
                <w:color w:val="323E48"/>
              </w:rPr>
            </w:pPr>
          </w:p>
        </w:tc>
      </w:tr>
      <w:tr w:rsidR="003167B3" w:rsidRPr="003167B3" w14:paraId="5CF1E8F7" w14:textId="77777777" w:rsidTr="2B717C5A">
        <w:tc>
          <w:tcPr>
            <w:tcW w:w="11732" w:type="dxa"/>
          </w:tcPr>
          <w:p w14:paraId="5CF1E8F4"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$20 000 or more but less than $100 000</w:t>
            </w:r>
          </w:p>
        </w:tc>
        <w:tc>
          <w:tcPr>
            <w:tcW w:w="2410" w:type="dxa"/>
          </w:tcPr>
          <w:p w14:paraId="4BD32191" w14:textId="5D02139A" w:rsidR="23AB557F" w:rsidRPr="009C6FE7" w:rsidRDefault="23AB557F" w:rsidP="1ABBA278">
            <w:pPr>
              <w:jc w:val="right"/>
              <w:rPr>
                <w:rFonts w:ascii="Arial" w:hAnsi="Arial" w:cs="Arial"/>
                <w:color w:val="323E48"/>
              </w:rPr>
            </w:pPr>
            <w:r w:rsidRPr="009C6FE7">
              <w:rPr>
                <w:rFonts w:ascii="Arial" w:hAnsi="Arial" w:cs="Arial"/>
                <w:color w:val="323E48"/>
              </w:rPr>
              <w:t>$6,012.0</w:t>
            </w:r>
            <w:r w:rsidR="1E7F7B0E" w:rsidRPr="009C6FE7">
              <w:rPr>
                <w:rFonts w:ascii="Arial" w:hAnsi="Arial" w:cs="Arial"/>
                <w:color w:val="323E48"/>
              </w:rPr>
              <w:t>0</w:t>
            </w:r>
          </w:p>
          <w:p w14:paraId="5CF1E8F6" w14:textId="77777777" w:rsidR="003167B3" w:rsidRPr="009C6FE7" w:rsidRDefault="003167B3" w:rsidP="1ABBA278">
            <w:pPr>
              <w:jc w:val="right"/>
              <w:rPr>
                <w:rFonts w:ascii="Arial" w:hAnsi="Arial" w:cs="Arial"/>
                <w:color w:val="323E48"/>
              </w:rPr>
            </w:pPr>
          </w:p>
        </w:tc>
      </w:tr>
      <w:tr w:rsidR="003167B3" w:rsidRPr="003167B3" w14:paraId="5CF1E8FB" w14:textId="77777777" w:rsidTr="2B717C5A">
        <w:tc>
          <w:tcPr>
            <w:tcW w:w="11732" w:type="dxa"/>
          </w:tcPr>
          <w:p w14:paraId="5CF1E8F8"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$100 000 or more but less than $250 000</w:t>
            </w:r>
          </w:p>
        </w:tc>
        <w:tc>
          <w:tcPr>
            <w:tcW w:w="2410" w:type="dxa"/>
          </w:tcPr>
          <w:p w14:paraId="5CF1E8F9" w14:textId="405F3980" w:rsidR="003167B3" w:rsidRPr="009C6FE7" w:rsidRDefault="003B6515" w:rsidP="1ABBA278">
            <w:pPr>
              <w:jc w:val="right"/>
              <w:rPr>
                <w:rFonts w:ascii="Arial" w:hAnsi="Arial" w:cs="Arial"/>
                <w:color w:val="323E48"/>
              </w:rPr>
            </w:pPr>
            <w:r w:rsidRPr="009C6FE7">
              <w:rPr>
                <w:rFonts w:ascii="Arial" w:hAnsi="Arial" w:cs="Arial"/>
                <w:color w:val="323E48"/>
              </w:rPr>
              <w:t>$</w:t>
            </w:r>
            <w:r w:rsidR="0FB58B68" w:rsidRPr="009C6FE7">
              <w:rPr>
                <w:rFonts w:ascii="Arial" w:hAnsi="Arial" w:cs="Arial"/>
                <w:color w:val="323E48"/>
              </w:rPr>
              <w:t>9,018.</w:t>
            </w:r>
            <w:r w:rsidR="1F444EB7" w:rsidRPr="009C6FE7">
              <w:rPr>
                <w:rFonts w:ascii="Arial" w:hAnsi="Arial" w:cs="Arial"/>
                <w:color w:val="323E48"/>
              </w:rPr>
              <w:t>0</w:t>
            </w:r>
            <w:r w:rsidR="2EF1F4D8" w:rsidRPr="009C6FE7">
              <w:rPr>
                <w:rFonts w:ascii="Arial" w:hAnsi="Arial" w:cs="Arial"/>
                <w:color w:val="323E48"/>
              </w:rPr>
              <w:t>0</w:t>
            </w:r>
          </w:p>
          <w:p w14:paraId="5CF1E8FA" w14:textId="77777777" w:rsidR="003167B3" w:rsidRPr="009C6FE7" w:rsidRDefault="003167B3" w:rsidP="1ABBA278">
            <w:pPr>
              <w:jc w:val="right"/>
              <w:rPr>
                <w:rFonts w:ascii="Arial" w:hAnsi="Arial" w:cs="Arial"/>
                <w:color w:val="323E48"/>
              </w:rPr>
            </w:pPr>
          </w:p>
        </w:tc>
      </w:tr>
      <w:tr w:rsidR="003167B3" w:rsidRPr="003167B3" w14:paraId="5CF1E8FF" w14:textId="77777777" w:rsidTr="2B717C5A">
        <w:tc>
          <w:tcPr>
            <w:tcW w:w="11732" w:type="dxa"/>
          </w:tcPr>
          <w:p w14:paraId="5CF1E8FC"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$250 000 or more but less than $500 000</w:t>
            </w:r>
          </w:p>
        </w:tc>
        <w:tc>
          <w:tcPr>
            <w:tcW w:w="2410" w:type="dxa"/>
          </w:tcPr>
          <w:p w14:paraId="5CF1E8FD" w14:textId="67ABE0F4" w:rsidR="003167B3" w:rsidRPr="009C6FE7" w:rsidRDefault="003B6515" w:rsidP="1ABBA278">
            <w:pPr>
              <w:jc w:val="right"/>
              <w:rPr>
                <w:rFonts w:ascii="Arial" w:hAnsi="Arial" w:cs="Arial"/>
                <w:color w:val="323E48"/>
              </w:rPr>
            </w:pPr>
            <w:r w:rsidRPr="009C6FE7">
              <w:rPr>
                <w:rFonts w:ascii="Arial" w:hAnsi="Arial" w:cs="Arial"/>
                <w:color w:val="323E48"/>
              </w:rPr>
              <w:t>$1</w:t>
            </w:r>
            <w:r w:rsidR="46DB081D" w:rsidRPr="009C6FE7">
              <w:rPr>
                <w:rFonts w:ascii="Arial" w:hAnsi="Arial" w:cs="Arial"/>
                <w:color w:val="323E48"/>
              </w:rPr>
              <w:t>1</w:t>
            </w:r>
            <w:r w:rsidRPr="009C6FE7">
              <w:rPr>
                <w:rFonts w:ascii="Arial" w:hAnsi="Arial" w:cs="Arial"/>
                <w:color w:val="323E48"/>
              </w:rPr>
              <w:t>,</w:t>
            </w:r>
            <w:r w:rsidR="3559B2A3" w:rsidRPr="009C6FE7">
              <w:rPr>
                <w:rFonts w:ascii="Arial" w:hAnsi="Arial" w:cs="Arial"/>
                <w:color w:val="323E48"/>
              </w:rPr>
              <w:t>044</w:t>
            </w:r>
            <w:r w:rsidRPr="009C6FE7">
              <w:rPr>
                <w:rFonts w:ascii="Arial" w:hAnsi="Arial" w:cs="Arial"/>
                <w:color w:val="323E48"/>
              </w:rPr>
              <w:t>.</w:t>
            </w:r>
            <w:r w:rsidR="542AB323" w:rsidRPr="009C6FE7">
              <w:rPr>
                <w:rFonts w:ascii="Arial" w:hAnsi="Arial" w:cs="Arial"/>
                <w:color w:val="323E48"/>
              </w:rPr>
              <w:t>0</w:t>
            </w:r>
            <w:r w:rsidR="5C673EDA" w:rsidRPr="009C6FE7">
              <w:rPr>
                <w:rFonts w:ascii="Arial" w:hAnsi="Arial" w:cs="Arial"/>
                <w:color w:val="323E48"/>
              </w:rPr>
              <w:t>0</w:t>
            </w:r>
          </w:p>
          <w:p w14:paraId="5CF1E8FE" w14:textId="77777777" w:rsidR="003167B3" w:rsidRPr="009C6FE7" w:rsidRDefault="003167B3" w:rsidP="1ABBA278">
            <w:pPr>
              <w:jc w:val="right"/>
              <w:rPr>
                <w:rFonts w:ascii="Arial" w:hAnsi="Arial" w:cs="Arial"/>
                <w:color w:val="323E48"/>
              </w:rPr>
            </w:pPr>
          </w:p>
        </w:tc>
      </w:tr>
      <w:tr w:rsidR="003167B3" w:rsidRPr="003167B3" w14:paraId="5CF1E903" w14:textId="77777777" w:rsidTr="2B717C5A">
        <w:tc>
          <w:tcPr>
            <w:tcW w:w="11732" w:type="dxa"/>
          </w:tcPr>
          <w:p w14:paraId="5CF1E900"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$500 000 or more but less than $1 000 000</w:t>
            </w:r>
          </w:p>
        </w:tc>
        <w:tc>
          <w:tcPr>
            <w:tcW w:w="2410" w:type="dxa"/>
          </w:tcPr>
          <w:p w14:paraId="552F8BF6" w14:textId="2CC50825" w:rsidR="62D46CD2" w:rsidRPr="009C6FE7" w:rsidRDefault="62D46CD2" w:rsidP="1ABBA278">
            <w:pPr>
              <w:jc w:val="right"/>
              <w:rPr>
                <w:rFonts w:ascii="Arial" w:hAnsi="Arial" w:cs="Arial"/>
                <w:color w:val="323E48"/>
              </w:rPr>
            </w:pPr>
            <w:r w:rsidRPr="009C6FE7">
              <w:rPr>
                <w:rFonts w:ascii="Arial" w:hAnsi="Arial" w:cs="Arial"/>
                <w:color w:val="323E48"/>
              </w:rPr>
              <w:t>$12,697.3</w:t>
            </w:r>
            <w:r w:rsidR="40FA5E9A" w:rsidRPr="009C6FE7">
              <w:rPr>
                <w:rFonts w:ascii="Arial" w:hAnsi="Arial" w:cs="Arial"/>
                <w:color w:val="323E48"/>
              </w:rPr>
              <w:t>0</w:t>
            </w:r>
          </w:p>
          <w:p w14:paraId="5CF1E902" w14:textId="77777777" w:rsidR="003167B3" w:rsidRPr="009C6FE7" w:rsidRDefault="003167B3" w:rsidP="1ABBA278">
            <w:pPr>
              <w:jc w:val="right"/>
              <w:rPr>
                <w:rFonts w:ascii="Arial" w:hAnsi="Arial" w:cs="Arial"/>
                <w:color w:val="323E48"/>
              </w:rPr>
            </w:pPr>
          </w:p>
        </w:tc>
      </w:tr>
      <w:tr w:rsidR="003167B3" w:rsidRPr="003167B3" w14:paraId="5CF1E907" w14:textId="77777777" w:rsidTr="2B717C5A">
        <w:tc>
          <w:tcPr>
            <w:tcW w:w="11732" w:type="dxa"/>
          </w:tcPr>
          <w:p w14:paraId="5CF1E904"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$1 000 000 or more but less than $5 000 000</w:t>
            </w:r>
          </w:p>
        </w:tc>
        <w:tc>
          <w:tcPr>
            <w:tcW w:w="2410" w:type="dxa"/>
          </w:tcPr>
          <w:p w14:paraId="5CF1E905" w14:textId="28FC1444" w:rsidR="003167B3" w:rsidRPr="009C6FE7" w:rsidRDefault="1F444EB7" w:rsidP="1ABBA278">
            <w:pPr>
              <w:jc w:val="right"/>
              <w:rPr>
                <w:rFonts w:ascii="Arial" w:hAnsi="Arial" w:cs="Arial"/>
                <w:color w:val="323E48"/>
              </w:rPr>
            </w:pPr>
            <w:r w:rsidRPr="009C6FE7">
              <w:rPr>
                <w:rFonts w:ascii="Arial" w:hAnsi="Arial" w:cs="Arial"/>
                <w:color w:val="323E48"/>
              </w:rPr>
              <w:t>$</w:t>
            </w:r>
            <w:r w:rsidR="679F8C24" w:rsidRPr="009C6FE7">
              <w:rPr>
                <w:rFonts w:ascii="Arial" w:hAnsi="Arial" w:cs="Arial"/>
                <w:color w:val="323E48"/>
              </w:rPr>
              <w:t>22,854.6</w:t>
            </w:r>
            <w:r w:rsidR="04328E12" w:rsidRPr="009C6FE7">
              <w:rPr>
                <w:rFonts w:ascii="Arial" w:hAnsi="Arial" w:cs="Arial"/>
                <w:color w:val="323E48"/>
              </w:rPr>
              <w:t>0</w:t>
            </w:r>
          </w:p>
          <w:p w14:paraId="5CF1E906" w14:textId="77777777" w:rsidR="003167B3" w:rsidRPr="009C6FE7" w:rsidRDefault="003167B3" w:rsidP="1ABBA278">
            <w:pPr>
              <w:jc w:val="right"/>
              <w:rPr>
                <w:rFonts w:ascii="Arial" w:hAnsi="Arial" w:cs="Arial"/>
                <w:color w:val="323E48"/>
              </w:rPr>
            </w:pPr>
          </w:p>
        </w:tc>
      </w:tr>
      <w:tr w:rsidR="003167B3" w:rsidRPr="003167B3" w14:paraId="5CF1E90B" w14:textId="77777777" w:rsidTr="2B717C5A">
        <w:tc>
          <w:tcPr>
            <w:tcW w:w="11732" w:type="dxa"/>
          </w:tcPr>
          <w:p w14:paraId="5CF1E908"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$5 000 000 or more but less than $10 000 000</w:t>
            </w:r>
          </w:p>
        </w:tc>
        <w:tc>
          <w:tcPr>
            <w:tcW w:w="2410" w:type="dxa"/>
          </w:tcPr>
          <w:p w14:paraId="287071C2" w14:textId="747811EB" w:rsidR="003B6515" w:rsidRPr="009C6FE7" w:rsidRDefault="003B6515" w:rsidP="1ABBA278">
            <w:pPr>
              <w:jc w:val="right"/>
              <w:rPr>
                <w:rFonts w:ascii="Arial" w:hAnsi="Arial" w:cs="Arial"/>
                <w:color w:val="323E48"/>
              </w:rPr>
            </w:pPr>
            <w:r w:rsidRPr="009C6FE7">
              <w:rPr>
                <w:rFonts w:ascii="Arial" w:hAnsi="Arial" w:cs="Arial"/>
                <w:color w:val="323E48"/>
              </w:rPr>
              <w:t>$</w:t>
            </w:r>
            <w:r w:rsidR="0047927B" w:rsidRPr="009C6FE7">
              <w:rPr>
                <w:rFonts w:ascii="Arial" w:hAnsi="Arial" w:cs="Arial"/>
                <w:color w:val="323E48"/>
              </w:rPr>
              <w:t>26,627.</w:t>
            </w:r>
            <w:r w:rsidR="676BA820" w:rsidRPr="009C6FE7">
              <w:rPr>
                <w:rFonts w:ascii="Arial" w:hAnsi="Arial" w:cs="Arial"/>
                <w:color w:val="323E48"/>
              </w:rPr>
              <w:t>2</w:t>
            </w:r>
            <w:r w:rsidR="23DA81FC" w:rsidRPr="009C6FE7">
              <w:rPr>
                <w:rFonts w:ascii="Arial" w:hAnsi="Arial" w:cs="Arial"/>
                <w:color w:val="323E48"/>
              </w:rPr>
              <w:t>0</w:t>
            </w:r>
          </w:p>
          <w:p w14:paraId="5CF1E90A" w14:textId="77777777" w:rsidR="003167B3" w:rsidRPr="009C6FE7" w:rsidRDefault="003167B3" w:rsidP="1ABBA278">
            <w:pPr>
              <w:jc w:val="right"/>
              <w:rPr>
                <w:rFonts w:ascii="Arial" w:hAnsi="Arial" w:cs="Arial"/>
                <w:color w:val="323E48"/>
              </w:rPr>
            </w:pPr>
          </w:p>
        </w:tc>
      </w:tr>
      <w:tr w:rsidR="003167B3" w:rsidRPr="003167B3" w14:paraId="5CF1E90F" w14:textId="77777777" w:rsidTr="2B717C5A">
        <w:tc>
          <w:tcPr>
            <w:tcW w:w="11732" w:type="dxa"/>
          </w:tcPr>
          <w:p w14:paraId="5CF1E90C"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lastRenderedPageBreak/>
              <w:t>Review for a decision relating to a permit application for works or activities to a registered place or registered object if the estimated cost of the works or activities is $10 000 000 or more but less than $30 000 000</w:t>
            </w:r>
          </w:p>
        </w:tc>
        <w:tc>
          <w:tcPr>
            <w:tcW w:w="2410" w:type="dxa"/>
          </w:tcPr>
          <w:p w14:paraId="6046D9F0" w14:textId="1B4D298E" w:rsidR="003B6515" w:rsidRPr="009C6FE7" w:rsidRDefault="003B6515" w:rsidP="1ABBA278">
            <w:pPr>
              <w:jc w:val="right"/>
              <w:rPr>
                <w:rFonts w:ascii="Arial" w:hAnsi="Arial" w:cs="Arial"/>
                <w:color w:val="323E48"/>
              </w:rPr>
            </w:pPr>
            <w:r w:rsidRPr="009C6FE7">
              <w:rPr>
                <w:rFonts w:ascii="Arial" w:hAnsi="Arial" w:cs="Arial"/>
                <w:color w:val="323E48"/>
              </w:rPr>
              <w:t>$</w:t>
            </w:r>
            <w:r w:rsidR="6BE2FFB9" w:rsidRPr="009C6FE7">
              <w:rPr>
                <w:rFonts w:ascii="Arial" w:hAnsi="Arial" w:cs="Arial"/>
                <w:color w:val="323E48"/>
              </w:rPr>
              <w:t>30,571.0</w:t>
            </w:r>
            <w:r w:rsidR="71770D8C" w:rsidRPr="009C6FE7">
              <w:rPr>
                <w:rFonts w:ascii="Arial" w:hAnsi="Arial" w:cs="Arial"/>
                <w:color w:val="323E48"/>
              </w:rPr>
              <w:t>0</w:t>
            </w:r>
          </w:p>
          <w:p w14:paraId="5CF1E90E" w14:textId="77777777" w:rsidR="003167B3" w:rsidRPr="009C6FE7" w:rsidRDefault="003167B3" w:rsidP="1ABBA278">
            <w:pPr>
              <w:jc w:val="right"/>
              <w:rPr>
                <w:rFonts w:ascii="Arial" w:hAnsi="Arial" w:cs="Arial"/>
                <w:color w:val="323E48"/>
              </w:rPr>
            </w:pPr>
          </w:p>
        </w:tc>
      </w:tr>
      <w:tr w:rsidR="003167B3" w:rsidRPr="003167B3" w14:paraId="5CF1E913" w14:textId="77777777" w:rsidTr="2B717C5A">
        <w:tc>
          <w:tcPr>
            <w:tcW w:w="11732" w:type="dxa"/>
          </w:tcPr>
          <w:p w14:paraId="5CF1E910" w14:textId="77777777" w:rsidR="003167B3" w:rsidRPr="009C6FE7" w:rsidRDefault="003167B3" w:rsidP="000A6209">
            <w:pPr>
              <w:rPr>
                <w:rFonts w:ascii="Arial" w:hAnsi="Arial" w:cs="Arial"/>
                <w:color w:val="323E48"/>
                <w:szCs w:val="24"/>
              </w:rPr>
            </w:pPr>
            <w:r w:rsidRPr="009C6FE7">
              <w:rPr>
                <w:rFonts w:ascii="Arial" w:hAnsi="Arial" w:cs="Arial"/>
                <w:color w:val="323E48"/>
                <w:szCs w:val="24"/>
              </w:rPr>
              <w:t>Review for a decision relating to a permit application for works or activities to a registered place or registered object if the estimated cost of the works or activities is $30 000 000 or more</w:t>
            </w:r>
          </w:p>
        </w:tc>
        <w:tc>
          <w:tcPr>
            <w:tcW w:w="2410" w:type="dxa"/>
          </w:tcPr>
          <w:p w14:paraId="5CF1E911" w14:textId="440DBE2D" w:rsidR="003167B3" w:rsidRPr="009C6FE7" w:rsidRDefault="003B6515" w:rsidP="1ABBA278">
            <w:pPr>
              <w:jc w:val="right"/>
              <w:rPr>
                <w:rFonts w:ascii="Arial" w:hAnsi="Arial" w:cs="Arial"/>
                <w:color w:val="323E48"/>
              </w:rPr>
            </w:pPr>
            <w:r w:rsidRPr="009C6FE7">
              <w:rPr>
                <w:rFonts w:ascii="Arial" w:hAnsi="Arial" w:cs="Arial"/>
                <w:color w:val="323E48"/>
              </w:rPr>
              <w:t>$</w:t>
            </w:r>
            <w:r w:rsidR="32A37D06" w:rsidRPr="009C6FE7">
              <w:rPr>
                <w:rFonts w:ascii="Arial" w:hAnsi="Arial" w:cs="Arial"/>
                <w:color w:val="323E48"/>
              </w:rPr>
              <w:t>34,541.9</w:t>
            </w:r>
            <w:r w:rsidR="6CB86444" w:rsidRPr="009C6FE7">
              <w:rPr>
                <w:rFonts w:ascii="Arial" w:hAnsi="Arial" w:cs="Arial"/>
                <w:color w:val="323E48"/>
              </w:rPr>
              <w:t>0</w:t>
            </w:r>
          </w:p>
          <w:p w14:paraId="5CF1E912" w14:textId="77777777" w:rsidR="003167B3" w:rsidRPr="009C6FE7" w:rsidRDefault="003167B3" w:rsidP="1ABBA278">
            <w:pPr>
              <w:jc w:val="right"/>
              <w:rPr>
                <w:rFonts w:ascii="Arial" w:hAnsi="Arial" w:cs="Arial"/>
                <w:color w:val="323E48"/>
              </w:rPr>
            </w:pPr>
          </w:p>
        </w:tc>
      </w:tr>
      <w:tr w:rsidR="003167B3" w:rsidRPr="003167B3" w14:paraId="5CF1E918" w14:textId="77777777" w:rsidTr="2B717C5A">
        <w:tc>
          <w:tcPr>
            <w:tcW w:w="11732" w:type="dxa"/>
          </w:tcPr>
          <w:p w14:paraId="5CF1E914" w14:textId="77777777" w:rsidR="000A6209" w:rsidRPr="009C6FE7" w:rsidRDefault="003167B3" w:rsidP="003167B3">
            <w:pPr>
              <w:rPr>
                <w:rFonts w:ascii="Arial" w:hAnsi="Arial" w:cs="Arial"/>
                <w:color w:val="323E48"/>
                <w:szCs w:val="24"/>
              </w:rPr>
            </w:pPr>
            <w:r w:rsidRPr="009C6FE7">
              <w:rPr>
                <w:rFonts w:ascii="Arial" w:hAnsi="Arial" w:cs="Arial"/>
                <w:color w:val="323E48"/>
                <w:szCs w:val="24"/>
              </w:rPr>
              <w:t xml:space="preserve">Review for a decision relating to a permit application to carry out more than one class of works or activities set out in </w:t>
            </w:r>
            <w:proofErr w:type="spellStart"/>
            <w:r w:rsidRPr="009C6FE7">
              <w:rPr>
                <w:rFonts w:ascii="Arial" w:hAnsi="Arial" w:cs="Arial"/>
                <w:color w:val="323E48"/>
                <w:szCs w:val="24"/>
              </w:rPr>
              <w:t>subregulation</w:t>
            </w:r>
            <w:proofErr w:type="spellEnd"/>
            <w:r w:rsidRPr="009C6FE7">
              <w:rPr>
                <w:rFonts w:ascii="Arial" w:hAnsi="Arial" w:cs="Arial"/>
                <w:color w:val="323E48"/>
                <w:szCs w:val="24"/>
              </w:rPr>
              <w:t xml:space="preserve"> (1) is the sum of—</w:t>
            </w:r>
          </w:p>
          <w:p w14:paraId="5CF1E915" w14:textId="77777777" w:rsidR="000A6209" w:rsidRPr="009C6FE7" w:rsidRDefault="003167B3" w:rsidP="000A6209">
            <w:pPr>
              <w:pStyle w:val="ListParagraph"/>
              <w:numPr>
                <w:ilvl w:val="0"/>
                <w:numId w:val="7"/>
              </w:numPr>
              <w:rPr>
                <w:rFonts w:ascii="Arial" w:hAnsi="Arial" w:cs="Arial"/>
                <w:color w:val="323E48"/>
                <w:szCs w:val="24"/>
              </w:rPr>
            </w:pPr>
            <w:r w:rsidRPr="009C6FE7">
              <w:rPr>
                <w:rFonts w:ascii="Arial" w:hAnsi="Arial" w:cs="Arial"/>
                <w:color w:val="323E48"/>
                <w:szCs w:val="24"/>
              </w:rPr>
              <w:t>the highest of the fees which would have applied if a separate app</w:t>
            </w:r>
            <w:r w:rsidR="000A6209" w:rsidRPr="009C6FE7">
              <w:rPr>
                <w:rFonts w:ascii="Arial" w:hAnsi="Arial" w:cs="Arial"/>
                <w:color w:val="323E48"/>
                <w:szCs w:val="24"/>
              </w:rPr>
              <w:t>lication had been made; and</w:t>
            </w:r>
          </w:p>
          <w:p w14:paraId="5CF1E916" w14:textId="77777777" w:rsidR="003167B3" w:rsidRPr="009C6FE7" w:rsidRDefault="003167B3" w:rsidP="000A6209">
            <w:pPr>
              <w:pStyle w:val="ListParagraph"/>
              <w:numPr>
                <w:ilvl w:val="0"/>
                <w:numId w:val="7"/>
              </w:numPr>
              <w:rPr>
                <w:rFonts w:ascii="Arial" w:hAnsi="Arial" w:cs="Arial"/>
                <w:color w:val="323E48"/>
                <w:szCs w:val="24"/>
              </w:rPr>
            </w:pPr>
            <w:r w:rsidRPr="009C6FE7">
              <w:rPr>
                <w:rFonts w:ascii="Arial" w:hAnsi="Arial" w:cs="Arial"/>
                <w:color w:val="323E48"/>
                <w:szCs w:val="24"/>
              </w:rPr>
              <w:t>50 per cent of each of any other fee that would have applied if a separate application had been made.</w:t>
            </w:r>
          </w:p>
        </w:tc>
        <w:tc>
          <w:tcPr>
            <w:tcW w:w="2410" w:type="dxa"/>
          </w:tcPr>
          <w:p w14:paraId="5CF1E917" w14:textId="77777777" w:rsidR="003167B3" w:rsidRPr="009C6FE7" w:rsidRDefault="004350A2" w:rsidP="000A6209">
            <w:pPr>
              <w:jc w:val="right"/>
              <w:rPr>
                <w:rFonts w:ascii="Arial" w:hAnsi="Arial" w:cs="Arial"/>
                <w:color w:val="323E48"/>
              </w:rPr>
            </w:pPr>
            <w:r w:rsidRPr="009C6FE7">
              <w:rPr>
                <w:rFonts w:ascii="Arial" w:hAnsi="Arial" w:cs="Arial"/>
                <w:bCs/>
                <w:color w:val="323E48"/>
              </w:rPr>
              <w:t xml:space="preserve">Please contact Heritage Council of Victoria </w:t>
            </w:r>
            <w:r w:rsidR="000A6209" w:rsidRPr="009C6FE7">
              <w:rPr>
                <w:rFonts w:ascii="Arial" w:hAnsi="Arial" w:cs="Arial"/>
                <w:bCs/>
                <w:color w:val="323E48"/>
              </w:rPr>
              <w:t>if assistance is required in calculating f</w:t>
            </w:r>
            <w:r w:rsidRPr="009C6FE7">
              <w:rPr>
                <w:rFonts w:ascii="Arial" w:hAnsi="Arial" w:cs="Arial"/>
                <w:bCs/>
                <w:color w:val="323E48"/>
              </w:rPr>
              <w:t>ee</w:t>
            </w:r>
          </w:p>
        </w:tc>
      </w:tr>
      <w:tr w:rsidR="003167B3" w:rsidRPr="003167B3" w14:paraId="5CF1E91A" w14:textId="77777777" w:rsidTr="009264FB">
        <w:tc>
          <w:tcPr>
            <w:tcW w:w="14142" w:type="dxa"/>
            <w:gridSpan w:val="2"/>
            <w:shd w:val="clear" w:color="auto" w:fill="B7B8BA"/>
          </w:tcPr>
          <w:p w14:paraId="5CF1E919" w14:textId="77777777" w:rsidR="003167B3" w:rsidRPr="009C6FE7" w:rsidRDefault="003167B3" w:rsidP="003167B3">
            <w:pPr>
              <w:rPr>
                <w:rFonts w:ascii="Arial" w:hAnsi="Arial" w:cs="Arial"/>
                <w:color w:val="323E48"/>
                <w:szCs w:val="24"/>
              </w:rPr>
            </w:pPr>
            <w:r w:rsidRPr="009C6FE7">
              <w:rPr>
                <w:rFonts w:ascii="Arial" w:hAnsi="Arial" w:cs="Arial"/>
                <w:i/>
                <w:color w:val="323E48"/>
                <w:szCs w:val="24"/>
              </w:rPr>
              <w:t xml:space="preserve">The </w:t>
            </w:r>
            <w:r w:rsidR="000A6209" w:rsidRPr="009C6FE7">
              <w:rPr>
                <w:rFonts w:ascii="Arial" w:hAnsi="Arial" w:cs="Arial"/>
                <w:i/>
                <w:color w:val="323E48"/>
                <w:szCs w:val="24"/>
              </w:rPr>
              <w:t xml:space="preserve">below </w:t>
            </w:r>
            <w:r w:rsidRPr="009C6FE7">
              <w:rPr>
                <w:rFonts w:ascii="Arial" w:hAnsi="Arial" w:cs="Arial"/>
                <w:i/>
                <w:color w:val="323E48"/>
                <w:szCs w:val="24"/>
              </w:rPr>
              <w:t>Permit Review fees are set at 40% of the permit application fee paid.</w:t>
            </w:r>
          </w:p>
        </w:tc>
      </w:tr>
      <w:tr w:rsidR="003167B3" w:rsidRPr="003167B3" w14:paraId="5CF1E91F" w14:textId="77777777" w:rsidTr="2B717C5A">
        <w:tc>
          <w:tcPr>
            <w:tcW w:w="11732" w:type="dxa"/>
          </w:tcPr>
          <w:p w14:paraId="5CF1E91B"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Fee for review of Executive Director's determination in relation to refusal of a permit to demolish or destroy registered place or registered object</w:t>
            </w:r>
          </w:p>
          <w:p w14:paraId="5CF1E91C" w14:textId="77777777" w:rsidR="00004700" w:rsidRPr="009C6FE7" w:rsidRDefault="00004700" w:rsidP="003167B3">
            <w:pPr>
              <w:rPr>
                <w:rFonts w:ascii="Arial" w:hAnsi="Arial" w:cs="Arial"/>
                <w:color w:val="323E48"/>
                <w:szCs w:val="24"/>
              </w:rPr>
            </w:pPr>
          </w:p>
        </w:tc>
        <w:tc>
          <w:tcPr>
            <w:tcW w:w="2410" w:type="dxa"/>
          </w:tcPr>
          <w:p w14:paraId="2D588102" w14:textId="3228FB5D" w:rsidR="003B6515" w:rsidRPr="009C6FE7" w:rsidRDefault="003B6515" w:rsidP="1ABBA278">
            <w:pPr>
              <w:jc w:val="right"/>
              <w:rPr>
                <w:rFonts w:ascii="Arial" w:hAnsi="Arial" w:cs="Arial"/>
                <w:color w:val="323E48"/>
              </w:rPr>
            </w:pPr>
            <w:r w:rsidRPr="009C6FE7">
              <w:rPr>
                <w:rFonts w:ascii="Arial" w:hAnsi="Arial" w:cs="Arial"/>
                <w:color w:val="323E48"/>
              </w:rPr>
              <w:t>$</w:t>
            </w:r>
            <w:r w:rsidR="7D095046" w:rsidRPr="009C6FE7">
              <w:rPr>
                <w:rFonts w:ascii="Arial" w:hAnsi="Arial" w:cs="Arial"/>
                <w:color w:val="323E48"/>
              </w:rPr>
              <w:t>5,325.4</w:t>
            </w:r>
            <w:r w:rsidR="488BB8B8" w:rsidRPr="009C6FE7">
              <w:rPr>
                <w:rFonts w:ascii="Arial" w:hAnsi="Arial" w:cs="Arial"/>
                <w:color w:val="323E48"/>
              </w:rPr>
              <w:t>0</w:t>
            </w:r>
          </w:p>
          <w:p w14:paraId="5CF1E91E" w14:textId="77777777" w:rsidR="003167B3" w:rsidRPr="009C6FE7" w:rsidRDefault="003167B3" w:rsidP="003167B3">
            <w:pPr>
              <w:jc w:val="right"/>
              <w:rPr>
                <w:rFonts w:ascii="Arial" w:hAnsi="Arial" w:cs="Arial"/>
                <w:color w:val="323E48"/>
                <w:szCs w:val="24"/>
              </w:rPr>
            </w:pPr>
          </w:p>
        </w:tc>
      </w:tr>
      <w:tr w:rsidR="000A6209" w:rsidRPr="003167B3" w14:paraId="5CF1E922" w14:textId="77777777" w:rsidTr="009264FB">
        <w:tc>
          <w:tcPr>
            <w:tcW w:w="14142" w:type="dxa"/>
            <w:gridSpan w:val="2"/>
            <w:shd w:val="clear" w:color="auto" w:fill="323E48"/>
          </w:tcPr>
          <w:p w14:paraId="5CF1E920" w14:textId="77777777" w:rsidR="000A6209" w:rsidRPr="009264FB" w:rsidRDefault="000A6209" w:rsidP="003167B3">
            <w:pPr>
              <w:rPr>
                <w:rFonts w:ascii="Arial" w:hAnsi="Arial" w:cs="Arial"/>
                <w:b/>
                <w:color w:val="FFFFFF" w:themeColor="background1"/>
                <w:szCs w:val="24"/>
              </w:rPr>
            </w:pPr>
            <w:r w:rsidRPr="009264FB">
              <w:rPr>
                <w:rFonts w:ascii="Arial" w:hAnsi="Arial" w:cs="Arial"/>
                <w:b/>
                <w:color w:val="FFFFFF" w:themeColor="background1"/>
                <w:szCs w:val="24"/>
              </w:rPr>
              <w:t>Archaeological consent Reviews fees</w:t>
            </w:r>
          </w:p>
          <w:p w14:paraId="5CF1E921" w14:textId="77777777" w:rsidR="000A6209" w:rsidRPr="009264FB" w:rsidRDefault="000A6209" w:rsidP="000A6209">
            <w:pPr>
              <w:jc w:val="right"/>
              <w:rPr>
                <w:rFonts w:ascii="Arial" w:hAnsi="Arial" w:cs="Arial"/>
                <w:color w:val="FFFFFF" w:themeColor="background1"/>
                <w:szCs w:val="24"/>
              </w:rPr>
            </w:pPr>
          </w:p>
        </w:tc>
      </w:tr>
      <w:tr w:rsidR="00E152E0" w:rsidRPr="003167B3" w14:paraId="4D233E7B" w14:textId="77777777" w:rsidTr="009264FB">
        <w:tc>
          <w:tcPr>
            <w:tcW w:w="14142" w:type="dxa"/>
            <w:gridSpan w:val="2"/>
            <w:shd w:val="clear" w:color="auto" w:fill="B7B8BA"/>
          </w:tcPr>
          <w:p w14:paraId="62A41E17" w14:textId="038BCC9D" w:rsidR="00E152E0" w:rsidRPr="009C6FE7" w:rsidRDefault="00E152E0" w:rsidP="00E152E0">
            <w:pPr>
              <w:rPr>
                <w:rFonts w:ascii="Arial" w:hAnsi="Arial" w:cs="Arial"/>
                <w:b/>
                <w:color w:val="323E48"/>
                <w:szCs w:val="24"/>
              </w:rPr>
            </w:pPr>
            <w:r w:rsidRPr="009C6FE7">
              <w:rPr>
                <w:rFonts w:ascii="Arial" w:hAnsi="Arial" w:cs="Arial"/>
                <w:i/>
                <w:color w:val="323E48"/>
                <w:szCs w:val="24"/>
              </w:rPr>
              <w:t>The below Archaeological consent Review fees are set at 45% of the archaeological consent application fee paid.</w:t>
            </w:r>
          </w:p>
        </w:tc>
      </w:tr>
      <w:tr w:rsidR="003167B3" w:rsidRPr="003167B3" w14:paraId="5CF1E92B" w14:textId="77777777" w:rsidTr="2B717C5A">
        <w:tc>
          <w:tcPr>
            <w:tcW w:w="11732" w:type="dxa"/>
          </w:tcPr>
          <w:p w14:paraId="5CF1E923"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of Executive Director's determination in relation to an application for consent to uncover and expose—</w:t>
            </w:r>
          </w:p>
          <w:p w14:paraId="5CF1E924" w14:textId="77777777" w:rsidR="003167B3" w:rsidRPr="009C6FE7" w:rsidRDefault="003167B3" w:rsidP="003167B3">
            <w:pPr>
              <w:pStyle w:val="ListParagraph"/>
              <w:numPr>
                <w:ilvl w:val="0"/>
                <w:numId w:val="1"/>
              </w:numPr>
              <w:rPr>
                <w:rFonts w:ascii="Arial" w:hAnsi="Arial" w:cs="Arial"/>
                <w:color w:val="323E48"/>
                <w:szCs w:val="24"/>
              </w:rPr>
            </w:pPr>
            <w:r w:rsidRPr="009C6FE7">
              <w:rPr>
                <w:rFonts w:ascii="Arial" w:hAnsi="Arial" w:cs="Arial"/>
                <w:color w:val="323E48"/>
                <w:szCs w:val="24"/>
              </w:rPr>
              <w:t xml:space="preserve">an archaeological site or part of an archaeological site recorded in the Heritage Inventory; or </w:t>
            </w:r>
          </w:p>
          <w:p w14:paraId="5CF1E926" w14:textId="2B637847" w:rsidR="003167B3" w:rsidRPr="009C6FE7" w:rsidRDefault="003167B3" w:rsidP="003167B3">
            <w:pPr>
              <w:pStyle w:val="ListParagraph"/>
              <w:numPr>
                <w:ilvl w:val="0"/>
                <w:numId w:val="1"/>
              </w:numPr>
              <w:rPr>
                <w:rFonts w:ascii="Arial" w:hAnsi="Arial" w:cs="Arial"/>
                <w:color w:val="323E48"/>
                <w:szCs w:val="24"/>
              </w:rPr>
            </w:pPr>
            <w:r w:rsidRPr="009C6FE7">
              <w:rPr>
                <w:rFonts w:ascii="Arial" w:hAnsi="Arial" w:cs="Arial"/>
                <w:color w:val="323E48"/>
                <w:szCs w:val="24"/>
              </w:rPr>
              <w:t>an archaeological site or part of an archaeological site which is not recorded in the Heritage Inventory—</w:t>
            </w:r>
            <w:r w:rsidR="009C6FE7">
              <w:rPr>
                <w:rFonts w:ascii="Arial" w:hAnsi="Arial" w:cs="Arial"/>
                <w:color w:val="323E48"/>
                <w:szCs w:val="24"/>
              </w:rPr>
              <w:t xml:space="preserve"> </w:t>
            </w:r>
            <w:r w:rsidRPr="009C6FE7">
              <w:rPr>
                <w:rFonts w:ascii="Arial" w:hAnsi="Arial" w:cs="Arial"/>
                <w:color w:val="323E48"/>
                <w:szCs w:val="24"/>
              </w:rPr>
              <w:t xml:space="preserve">in order to assess the condition and potential of the archaeology for the purposes of— </w:t>
            </w:r>
          </w:p>
          <w:p w14:paraId="5CF1E927" w14:textId="77777777" w:rsidR="003167B3" w:rsidRPr="009C6FE7" w:rsidRDefault="003167B3" w:rsidP="003167B3">
            <w:pPr>
              <w:pStyle w:val="ListParagraph"/>
              <w:numPr>
                <w:ilvl w:val="0"/>
                <w:numId w:val="1"/>
              </w:numPr>
              <w:rPr>
                <w:rFonts w:ascii="Arial" w:hAnsi="Arial" w:cs="Arial"/>
                <w:color w:val="323E48"/>
                <w:szCs w:val="24"/>
              </w:rPr>
            </w:pPr>
            <w:r w:rsidRPr="009C6FE7">
              <w:rPr>
                <w:rFonts w:ascii="Arial" w:hAnsi="Arial" w:cs="Arial"/>
                <w:color w:val="323E48"/>
                <w:szCs w:val="24"/>
              </w:rPr>
              <w:t xml:space="preserve">constructing one domestic residential dwelling on a lot or allotment; or </w:t>
            </w:r>
          </w:p>
          <w:p w14:paraId="5CF1E928" w14:textId="77777777" w:rsidR="003167B3" w:rsidRPr="009C6FE7" w:rsidRDefault="003167B3" w:rsidP="003167B3">
            <w:pPr>
              <w:pStyle w:val="ListParagraph"/>
              <w:numPr>
                <w:ilvl w:val="0"/>
                <w:numId w:val="1"/>
              </w:numPr>
              <w:rPr>
                <w:rFonts w:ascii="Arial" w:hAnsi="Arial" w:cs="Arial"/>
                <w:color w:val="323E48"/>
                <w:szCs w:val="24"/>
              </w:rPr>
            </w:pPr>
            <w:r w:rsidRPr="009C6FE7">
              <w:rPr>
                <w:rFonts w:ascii="Arial" w:hAnsi="Arial" w:cs="Arial"/>
                <w:color w:val="323E48"/>
                <w:szCs w:val="24"/>
              </w:rPr>
              <w:t>constructing an extension to one domestic residential dwelling on a lot or allotment</w:t>
            </w:r>
          </w:p>
        </w:tc>
        <w:tc>
          <w:tcPr>
            <w:tcW w:w="2410" w:type="dxa"/>
          </w:tcPr>
          <w:p w14:paraId="5CF1E929" w14:textId="34CFAB8B" w:rsidR="003167B3" w:rsidRPr="009C6FE7" w:rsidRDefault="003B6515" w:rsidP="1ABBA278">
            <w:pPr>
              <w:jc w:val="right"/>
              <w:rPr>
                <w:rFonts w:ascii="Arial" w:hAnsi="Arial" w:cs="Arial"/>
                <w:color w:val="323E48"/>
              </w:rPr>
            </w:pPr>
            <w:r w:rsidRPr="009C6FE7">
              <w:rPr>
                <w:rFonts w:ascii="Arial" w:hAnsi="Arial" w:cs="Arial"/>
                <w:color w:val="323E48"/>
              </w:rPr>
              <w:t>$13</w:t>
            </w:r>
            <w:r w:rsidR="4D4B66D8" w:rsidRPr="009C6FE7">
              <w:rPr>
                <w:rFonts w:ascii="Arial" w:hAnsi="Arial" w:cs="Arial"/>
                <w:color w:val="323E48"/>
              </w:rPr>
              <w:t>5.</w:t>
            </w:r>
            <w:r w:rsidR="587C8D80" w:rsidRPr="009C6FE7">
              <w:rPr>
                <w:rFonts w:ascii="Arial" w:hAnsi="Arial" w:cs="Arial"/>
                <w:color w:val="323E48"/>
              </w:rPr>
              <w:t>3</w:t>
            </w:r>
            <w:r w:rsidR="2192612F" w:rsidRPr="009C6FE7">
              <w:rPr>
                <w:rFonts w:ascii="Arial" w:hAnsi="Arial" w:cs="Arial"/>
                <w:color w:val="323E48"/>
              </w:rPr>
              <w:t>0</w:t>
            </w:r>
          </w:p>
          <w:p w14:paraId="5CF1E92A" w14:textId="77777777" w:rsidR="003167B3" w:rsidRPr="009C6FE7" w:rsidRDefault="003167B3" w:rsidP="003167B3">
            <w:pPr>
              <w:jc w:val="right"/>
              <w:rPr>
                <w:rFonts w:ascii="Arial" w:hAnsi="Arial" w:cs="Arial"/>
                <w:color w:val="323E48"/>
                <w:szCs w:val="24"/>
              </w:rPr>
            </w:pPr>
          </w:p>
        </w:tc>
      </w:tr>
      <w:tr w:rsidR="003167B3" w:rsidRPr="003167B3" w14:paraId="5CF1E935" w14:textId="77777777" w:rsidTr="2B717C5A">
        <w:tc>
          <w:tcPr>
            <w:tcW w:w="11732" w:type="dxa"/>
          </w:tcPr>
          <w:p w14:paraId="5CF1E92C"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of Executive Director's determination in relation to an application for consent to excavate—</w:t>
            </w:r>
          </w:p>
          <w:p w14:paraId="5CF1E92D" w14:textId="77777777" w:rsidR="003167B3" w:rsidRPr="009C6FE7" w:rsidRDefault="003167B3" w:rsidP="003167B3">
            <w:pPr>
              <w:pStyle w:val="ListParagraph"/>
              <w:numPr>
                <w:ilvl w:val="0"/>
                <w:numId w:val="2"/>
              </w:numPr>
              <w:rPr>
                <w:rFonts w:ascii="Arial" w:hAnsi="Arial" w:cs="Arial"/>
                <w:color w:val="323E48"/>
                <w:szCs w:val="24"/>
              </w:rPr>
            </w:pPr>
            <w:r w:rsidRPr="009C6FE7">
              <w:rPr>
                <w:rFonts w:ascii="Arial" w:hAnsi="Arial" w:cs="Arial"/>
                <w:color w:val="323E48"/>
                <w:szCs w:val="24"/>
              </w:rPr>
              <w:t xml:space="preserve">an archaeological site or part of an archaeological site recorded in the Heritage Inventory; or </w:t>
            </w:r>
          </w:p>
          <w:p w14:paraId="5CF1E92F" w14:textId="2CDBE423" w:rsidR="003167B3" w:rsidRPr="009C6FE7" w:rsidRDefault="003167B3" w:rsidP="003167B3">
            <w:pPr>
              <w:pStyle w:val="ListParagraph"/>
              <w:numPr>
                <w:ilvl w:val="0"/>
                <w:numId w:val="2"/>
              </w:numPr>
              <w:rPr>
                <w:rFonts w:ascii="Arial" w:hAnsi="Arial" w:cs="Arial"/>
                <w:color w:val="323E48"/>
                <w:szCs w:val="24"/>
              </w:rPr>
            </w:pPr>
            <w:r w:rsidRPr="009C6FE7">
              <w:rPr>
                <w:rFonts w:ascii="Arial" w:hAnsi="Arial" w:cs="Arial"/>
                <w:color w:val="323E48"/>
                <w:szCs w:val="24"/>
              </w:rPr>
              <w:t>an archaeological site or part of an archaeological site which is not recorded in the Heritage Inventory—</w:t>
            </w:r>
            <w:r w:rsidR="009C6FE7">
              <w:rPr>
                <w:rFonts w:ascii="Arial" w:hAnsi="Arial" w:cs="Arial"/>
                <w:color w:val="323E48"/>
                <w:szCs w:val="24"/>
              </w:rPr>
              <w:t xml:space="preserve"> </w:t>
            </w:r>
            <w:r w:rsidRPr="009C6FE7">
              <w:rPr>
                <w:rFonts w:ascii="Arial" w:hAnsi="Arial" w:cs="Arial"/>
                <w:color w:val="323E48"/>
                <w:szCs w:val="24"/>
              </w:rPr>
              <w:t xml:space="preserve">for the purposes of— </w:t>
            </w:r>
          </w:p>
          <w:p w14:paraId="5CF1E930" w14:textId="77777777" w:rsidR="003167B3" w:rsidRPr="009C6FE7" w:rsidRDefault="003167B3" w:rsidP="003167B3">
            <w:pPr>
              <w:pStyle w:val="ListParagraph"/>
              <w:numPr>
                <w:ilvl w:val="0"/>
                <w:numId w:val="2"/>
              </w:numPr>
              <w:rPr>
                <w:rFonts w:ascii="Arial" w:hAnsi="Arial" w:cs="Arial"/>
                <w:color w:val="323E48"/>
                <w:szCs w:val="24"/>
              </w:rPr>
            </w:pPr>
            <w:r w:rsidRPr="009C6FE7">
              <w:rPr>
                <w:rFonts w:ascii="Arial" w:hAnsi="Arial" w:cs="Arial"/>
                <w:color w:val="323E48"/>
                <w:szCs w:val="24"/>
              </w:rPr>
              <w:t xml:space="preserve">constructing one domestic residential dwelling on a lot or allotment; or </w:t>
            </w:r>
          </w:p>
          <w:p w14:paraId="5CF1E931" w14:textId="77777777" w:rsidR="003167B3" w:rsidRPr="009C6FE7" w:rsidRDefault="003167B3" w:rsidP="003167B3">
            <w:pPr>
              <w:pStyle w:val="ListParagraph"/>
              <w:numPr>
                <w:ilvl w:val="0"/>
                <w:numId w:val="2"/>
              </w:numPr>
              <w:rPr>
                <w:rFonts w:ascii="Arial" w:hAnsi="Arial" w:cs="Arial"/>
                <w:color w:val="323E48"/>
                <w:szCs w:val="24"/>
              </w:rPr>
            </w:pPr>
            <w:r w:rsidRPr="009C6FE7">
              <w:rPr>
                <w:rFonts w:ascii="Arial" w:hAnsi="Arial" w:cs="Arial"/>
                <w:color w:val="323E48"/>
                <w:szCs w:val="24"/>
              </w:rPr>
              <w:t>constructing an extension to one domestic residential dwelling on a lot or allotment</w:t>
            </w:r>
          </w:p>
          <w:p w14:paraId="21999F25" w14:textId="77777777" w:rsidR="00004700" w:rsidRPr="009C6FE7" w:rsidRDefault="00004700" w:rsidP="00004700">
            <w:pPr>
              <w:pStyle w:val="ListParagraph"/>
              <w:ind w:left="1080"/>
              <w:rPr>
                <w:rFonts w:ascii="Arial" w:hAnsi="Arial" w:cs="Arial"/>
                <w:color w:val="323E48"/>
                <w:szCs w:val="24"/>
              </w:rPr>
            </w:pPr>
          </w:p>
          <w:p w14:paraId="5CF1E932" w14:textId="12AD68C9" w:rsidR="002C59E3" w:rsidRPr="009C6FE7" w:rsidRDefault="002C59E3" w:rsidP="002C59E3">
            <w:pPr>
              <w:rPr>
                <w:rFonts w:ascii="Arial" w:hAnsi="Arial" w:cs="Arial"/>
                <w:color w:val="323E48"/>
                <w:szCs w:val="24"/>
              </w:rPr>
            </w:pPr>
          </w:p>
        </w:tc>
        <w:tc>
          <w:tcPr>
            <w:tcW w:w="2410" w:type="dxa"/>
          </w:tcPr>
          <w:p w14:paraId="5831F152" w14:textId="6E207968" w:rsidR="003B6515" w:rsidRPr="009C6FE7" w:rsidRDefault="003B6515" w:rsidP="1ABBA278">
            <w:pPr>
              <w:jc w:val="right"/>
              <w:rPr>
                <w:rFonts w:ascii="Arial" w:hAnsi="Arial" w:cs="Arial"/>
                <w:color w:val="323E48"/>
              </w:rPr>
            </w:pPr>
            <w:r w:rsidRPr="009C6FE7">
              <w:rPr>
                <w:rFonts w:ascii="Arial" w:hAnsi="Arial" w:cs="Arial"/>
                <w:color w:val="323E48"/>
              </w:rPr>
              <w:t>$</w:t>
            </w:r>
            <w:r w:rsidR="1E1BAAF2" w:rsidRPr="009C6FE7">
              <w:rPr>
                <w:rFonts w:ascii="Arial" w:hAnsi="Arial" w:cs="Arial"/>
                <w:color w:val="323E48"/>
              </w:rPr>
              <w:t>202.9</w:t>
            </w:r>
            <w:r w:rsidR="404FAA90" w:rsidRPr="009C6FE7">
              <w:rPr>
                <w:rFonts w:ascii="Arial" w:hAnsi="Arial" w:cs="Arial"/>
                <w:color w:val="323E48"/>
              </w:rPr>
              <w:t>0</w:t>
            </w:r>
          </w:p>
          <w:p w14:paraId="5CF1E934" w14:textId="77777777" w:rsidR="003167B3" w:rsidRPr="009C6FE7" w:rsidRDefault="003167B3" w:rsidP="003167B3">
            <w:pPr>
              <w:jc w:val="right"/>
              <w:rPr>
                <w:rFonts w:ascii="Arial" w:hAnsi="Arial" w:cs="Arial"/>
                <w:color w:val="323E48"/>
                <w:szCs w:val="24"/>
              </w:rPr>
            </w:pPr>
          </w:p>
        </w:tc>
      </w:tr>
      <w:tr w:rsidR="003167B3" w:rsidRPr="003167B3" w14:paraId="5CF1E93C" w14:textId="77777777" w:rsidTr="2B717C5A">
        <w:tc>
          <w:tcPr>
            <w:tcW w:w="11732" w:type="dxa"/>
          </w:tcPr>
          <w:p w14:paraId="5CF1E936"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lastRenderedPageBreak/>
              <w:t>Review of Executive Director's determination in relation to an application for consent to uncover and expose—</w:t>
            </w:r>
          </w:p>
          <w:p w14:paraId="5CF1E937" w14:textId="77777777" w:rsidR="003167B3" w:rsidRPr="009C6FE7" w:rsidRDefault="003167B3" w:rsidP="003167B3">
            <w:pPr>
              <w:pStyle w:val="ListParagraph"/>
              <w:numPr>
                <w:ilvl w:val="0"/>
                <w:numId w:val="3"/>
              </w:numPr>
              <w:rPr>
                <w:rFonts w:ascii="Arial" w:hAnsi="Arial" w:cs="Arial"/>
                <w:color w:val="323E48"/>
                <w:szCs w:val="24"/>
              </w:rPr>
            </w:pPr>
            <w:r w:rsidRPr="009C6FE7">
              <w:rPr>
                <w:rFonts w:ascii="Arial" w:hAnsi="Arial" w:cs="Arial"/>
                <w:color w:val="323E48"/>
                <w:szCs w:val="24"/>
              </w:rPr>
              <w:t xml:space="preserve">an archaeological site or part of an archaeological site recorded in the Heritage Inventory; or </w:t>
            </w:r>
          </w:p>
          <w:p w14:paraId="5CF1E938" w14:textId="77777777" w:rsidR="003167B3" w:rsidRPr="009C6FE7" w:rsidRDefault="003167B3" w:rsidP="003167B3">
            <w:pPr>
              <w:pStyle w:val="ListParagraph"/>
              <w:numPr>
                <w:ilvl w:val="0"/>
                <w:numId w:val="3"/>
              </w:numPr>
              <w:rPr>
                <w:rFonts w:ascii="Arial" w:hAnsi="Arial" w:cs="Arial"/>
                <w:color w:val="323E48"/>
                <w:szCs w:val="24"/>
              </w:rPr>
            </w:pPr>
            <w:r w:rsidRPr="009C6FE7">
              <w:rPr>
                <w:rFonts w:ascii="Arial" w:hAnsi="Arial" w:cs="Arial"/>
                <w:color w:val="323E48"/>
                <w:szCs w:val="24"/>
              </w:rPr>
              <w:t>an archaeological site or part of an archaeological site which is not recorded in the Heritage Inventory—</w:t>
            </w:r>
          </w:p>
          <w:p w14:paraId="5CF1E939" w14:textId="77777777" w:rsidR="00004700" w:rsidRPr="009C6FE7" w:rsidRDefault="003167B3" w:rsidP="003167B3">
            <w:pPr>
              <w:rPr>
                <w:rFonts w:ascii="Arial" w:hAnsi="Arial" w:cs="Arial"/>
                <w:color w:val="323E48"/>
                <w:szCs w:val="24"/>
              </w:rPr>
            </w:pPr>
            <w:r w:rsidRPr="009C6FE7">
              <w:rPr>
                <w:rFonts w:ascii="Arial" w:hAnsi="Arial" w:cs="Arial"/>
                <w:color w:val="323E48"/>
                <w:szCs w:val="24"/>
              </w:rPr>
              <w:t>in order to assess the condition and potential of the archaeology for all other purposes</w:t>
            </w:r>
          </w:p>
        </w:tc>
        <w:tc>
          <w:tcPr>
            <w:tcW w:w="2410" w:type="dxa"/>
          </w:tcPr>
          <w:p w14:paraId="5CF1E93A" w14:textId="6280DEFF" w:rsidR="003167B3" w:rsidRPr="009C6FE7" w:rsidRDefault="78B45D0D" w:rsidP="1ABBA278">
            <w:pPr>
              <w:jc w:val="right"/>
              <w:rPr>
                <w:rFonts w:ascii="Arial" w:hAnsi="Arial" w:cs="Arial"/>
                <w:color w:val="323E48"/>
              </w:rPr>
            </w:pPr>
            <w:r w:rsidRPr="009C6FE7">
              <w:rPr>
                <w:rFonts w:ascii="Arial" w:hAnsi="Arial" w:cs="Arial"/>
                <w:color w:val="323E48"/>
              </w:rPr>
              <w:t>$</w:t>
            </w:r>
            <w:r w:rsidR="2B12B5B7" w:rsidRPr="009C6FE7">
              <w:rPr>
                <w:rFonts w:ascii="Arial" w:hAnsi="Arial" w:cs="Arial"/>
                <w:color w:val="323E48"/>
              </w:rPr>
              <w:t>338.</w:t>
            </w:r>
            <w:r w:rsidR="72052351" w:rsidRPr="009C6FE7">
              <w:rPr>
                <w:rFonts w:ascii="Arial" w:hAnsi="Arial" w:cs="Arial"/>
                <w:color w:val="323E48"/>
              </w:rPr>
              <w:t>2</w:t>
            </w:r>
            <w:r w:rsidR="111737F7" w:rsidRPr="009C6FE7">
              <w:rPr>
                <w:rFonts w:ascii="Arial" w:hAnsi="Arial" w:cs="Arial"/>
                <w:color w:val="323E48"/>
              </w:rPr>
              <w:t>0</w:t>
            </w:r>
          </w:p>
          <w:p w14:paraId="5CF1E93B" w14:textId="77777777" w:rsidR="003167B3" w:rsidRPr="009C6FE7" w:rsidRDefault="003167B3" w:rsidP="003167B3">
            <w:pPr>
              <w:jc w:val="right"/>
              <w:rPr>
                <w:rFonts w:ascii="Arial" w:hAnsi="Arial" w:cs="Arial"/>
                <w:color w:val="323E48"/>
                <w:szCs w:val="24"/>
              </w:rPr>
            </w:pPr>
          </w:p>
        </w:tc>
      </w:tr>
      <w:tr w:rsidR="003167B3" w:rsidRPr="003167B3" w14:paraId="5CF1E943" w14:textId="77777777" w:rsidTr="2B717C5A">
        <w:tc>
          <w:tcPr>
            <w:tcW w:w="11732" w:type="dxa"/>
          </w:tcPr>
          <w:p w14:paraId="5CF1E93D"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of Executive Director's determination in relation to an application for consent to uncover and expose for an application for consent to excavate—</w:t>
            </w:r>
          </w:p>
          <w:p w14:paraId="5CF1E93E" w14:textId="77777777" w:rsidR="003167B3" w:rsidRPr="009C6FE7" w:rsidRDefault="003167B3" w:rsidP="003167B3">
            <w:pPr>
              <w:pStyle w:val="ListParagraph"/>
              <w:numPr>
                <w:ilvl w:val="0"/>
                <w:numId w:val="4"/>
              </w:numPr>
              <w:rPr>
                <w:rFonts w:ascii="Arial" w:hAnsi="Arial" w:cs="Arial"/>
                <w:color w:val="323E48"/>
                <w:szCs w:val="24"/>
              </w:rPr>
            </w:pPr>
            <w:r w:rsidRPr="009C6FE7">
              <w:rPr>
                <w:rFonts w:ascii="Arial" w:hAnsi="Arial" w:cs="Arial"/>
                <w:color w:val="323E48"/>
                <w:szCs w:val="24"/>
              </w:rPr>
              <w:t xml:space="preserve">an archaeological site or part of an archaeological site recorded in the Heritage Inventory; or </w:t>
            </w:r>
          </w:p>
          <w:p w14:paraId="5CF1E93F" w14:textId="77777777" w:rsidR="003167B3" w:rsidRPr="009C6FE7" w:rsidRDefault="003167B3" w:rsidP="003167B3">
            <w:pPr>
              <w:pStyle w:val="ListParagraph"/>
              <w:numPr>
                <w:ilvl w:val="0"/>
                <w:numId w:val="4"/>
              </w:numPr>
              <w:rPr>
                <w:rFonts w:ascii="Arial" w:hAnsi="Arial" w:cs="Arial"/>
                <w:color w:val="323E48"/>
                <w:szCs w:val="24"/>
              </w:rPr>
            </w:pPr>
            <w:r w:rsidRPr="009C6FE7">
              <w:rPr>
                <w:rFonts w:ascii="Arial" w:hAnsi="Arial" w:cs="Arial"/>
                <w:color w:val="323E48"/>
                <w:szCs w:val="24"/>
              </w:rPr>
              <w:t xml:space="preserve">an archaeological site or part of an archaeological site which is not recorded in the Heritage Inventory— </w:t>
            </w:r>
          </w:p>
          <w:p w14:paraId="5CF1E940"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for all other purposes</w:t>
            </w:r>
          </w:p>
        </w:tc>
        <w:tc>
          <w:tcPr>
            <w:tcW w:w="2410" w:type="dxa"/>
          </w:tcPr>
          <w:p w14:paraId="5CF1E941" w14:textId="2AF6B047" w:rsidR="003167B3" w:rsidRPr="009C6FE7" w:rsidRDefault="78B45D0D" w:rsidP="1ABBA278">
            <w:pPr>
              <w:jc w:val="right"/>
              <w:rPr>
                <w:rFonts w:ascii="Arial" w:hAnsi="Arial" w:cs="Arial"/>
                <w:color w:val="323E48"/>
              </w:rPr>
            </w:pPr>
            <w:r w:rsidRPr="009C6FE7">
              <w:rPr>
                <w:rFonts w:ascii="Arial" w:hAnsi="Arial" w:cs="Arial"/>
                <w:color w:val="323E48"/>
              </w:rPr>
              <w:t>$</w:t>
            </w:r>
            <w:r w:rsidR="6B8B1E1F" w:rsidRPr="009C6FE7">
              <w:rPr>
                <w:rFonts w:ascii="Arial" w:hAnsi="Arial" w:cs="Arial"/>
                <w:color w:val="323E48"/>
              </w:rPr>
              <w:t>489.</w:t>
            </w:r>
            <w:r w:rsidR="5D0BF881" w:rsidRPr="009C6FE7">
              <w:rPr>
                <w:rFonts w:ascii="Arial" w:hAnsi="Arial" w:cs="Arial"/>
                <w:color w:val="323E48"/>
              </w:rPr>
              <w:t>7</w:t>
            </w:r>
            <w:r w:rsidR="0FC60170" w:rsidRPr="009C6FE7">
              <w:rPr>
                <w:rFonts w:ascii="Arial" w:hAnsi="Arial" w:cs="Arial"/>
                <w:color w:val="323E48"/>
              </w:rPr>
              <w:t>0</w:t>
            </w:r>
          </w:p>
          <w:p w14:paraId="5CF1E942" w14:textId="77777777" w:rsidR="003167B3" w:rsidRPr="009C6FE7" w:rsidRDefault="003167B3" w:rsidP="003167B3">
            <w:pPr>
              <w:jc w:val="right"/>
              <w:rPr>
                <w:rFonts w:ascii="Arial" w:hAnsi="Arial" w:cs="Arial"/>
                <w:color w:val="323E48"/>
                <w:szCs w:val="24"/>
              </w:rPr>
            </w:pPr>
          </w:p>
        </w:tc>
      </w:tr>
      <w:tr w:rsidR="003167B3" w:rsidRPr="003167B3" w14:paraId="5CF1E949" w14:textId="77777777" w:rsidTr="2B717C5A">
        <w:tc>
          <w:tcPr>
            <w:tcW w:w="11732" w:type="dxa"/>
          </w:tcPr>
          <w:p w14:paraId="5CF1E944"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of Executive Director's determination in relation to an application for consent to damage and disturb an archaeological site or part of an archaeological site for—</w:t>
            </w:r>
          </w:p>
          <w:p w14:paraId="5CF1E945" w14:textId="77777777" w:rsidR="003167B3" w:rsidRPr="009C6FE7" w:rsidRDefault="003167B3" w:rsidP="003167B3">
            <w:pPr>
              <w:pStyle w:val="ListParagraph"/>
              <w:numPr>
                <w:ilvl w:val="0"/>
                <w:numId w:val="5"/>
              </w:numPr>
              <w:rPr>
                <w:rFonts w:ascii="Arial" w:hAnsi="Arial" w:cs="Arial"/>
                <w:color w:val="323E48"/>
                <w:szCs w:val="24"/>
              </w:rPr>
            </w:pPr>
            <w:r w:rsidRPr="009C6FE7">
              <w:rPr>
                <w:rFonts w:ascii="Arial" w:hAnsi="Arial" w:cs="Arial"/>
                <w:color w:val="323E48"/>
                <w:szCs w:val="24"/>
              </w:rPr>
              <w:t xml:space="preserve">the construction of one domestic residential dwelling on a lot or allotment; or </w:t>
            </w:r>
          </w:p>
          <w:p w14:paraId="5CF1E946" w14:textId="77777777" w:rsidR="003167B3" w:rsidRPr="009C6FE7" w:rsidRDefault="003167B3" w:rsidP="003167B3">
            <w:pPr>
              <w:pStyle w:val="ListParagraph"/>
              <w:numPr>
                <w:ilvl w:val="0"/>
                <w:numId w:val="5"/>
              </w:numPr>
              <w:rPr>
                <w:rFonts w:ascii="Arial" w:hAnsi="Arial" w:cs="Arial"/>
                <w:color w:val="323E48"/>
                <w:szCs w:val="24"/>
              </w:rPr>
            </w:pPr>
            <w:r w:rsidRPr="009C6FE7">
              <w:rPr>
                <w:rFonts w:ascii="Arial" w:hAnsi="Arial" w:cs="Arial"/>
                <w:color w:val="323E48"/>
                <w:szCs w:val="24"/>
              </w:rPr>
              <w:t>the construction of an extension to one domestic residential dwelling on a lot or allotment</w:t>
            </w:r>
          </w:p>
        </w:tc>
        <w:tc>
          <w:tcPr>
            <w:tcW w:w="2410" w:type="dxa"/>
          </w:tcPr>
          <w:p w14:paraId="5CF1E947" w14:textId="2F7D7B45" w:rsidR="003167B3" w:rsidRPr="009C6FE7" w:rsidRDefault="78B45D0D" w:rsidP="1ABBA278">
            <w:pPr>
              <w:jc w:val="right"/>
              <w:rPr>
                <w:rFonts w:ascii="Arial" w:hAnsi="Arial" w:cs="Arial"/>
                <w:color w:val="323E48"/>
              </w:rPr>
            </w:pPr>
            <w:r w:rsidRPr="009C6FE7">
              <w:rPr>
                <w:rFonts w:ascii="Arial" w:hAnsi="Arial" w:cs="Arial"/>
                <w:color w:val="323E48"/>
              </w:rPr>
              <w:t>$</w:t>
            </w:r>
            <w:r w:rsidR="6D53BA4A" w:rsidRPr="009C6FE7">
              <w:rPr>
                <w:rFonts w:ascii="Arial" w:hAnsi="Arial" w:cs="Arial"/>
                <w:color w:val="323E48"/>
              </w:rPr>
              <w:t>338.</w:t>
            </w:r>
            <w:r w:rsidR="50BB6404" w:rsidRPr="009C6FE7">
              <w:rPr>
                <w:rFonts w:ascii="Arial" w:hAnsi="Arial" w:cs="Arial"/>
                <w:color w:val="323E48"/>
              </w:rPr>
              <w:t>2</w:t>
            </w:r>
            <w:r w:rsidR="32D9DF7C" w:rsidRPr="009C6FE7">
              <w:rPr>
                <w:rFonts w:ascii="Arial" w:hAnsi="Arial" w:cs="Arial"/>
                <w:color w:val="323E48"/>
              </w:rPr>
              <w:t>0</w:t>
            </w:r>
          </w:p>
          <w:p w14:paraId="5CF1E948" w14:textId="77777777" w:rsidR="003167B3" w:rsidRPr="009C6FE7" w:rsidRDefault="003167B3" w:rsidP="003167B3">
            <w:pPr>
              <w:jc w:val="right"/>
              <w:rPr>
                <w:rFonts w:ascii="Arial" w:hAnsi="Arial" w:cs="Arial"/>
                <w:color w:val="323E48"/>
                <w:szCs w:val="24"/>
              </w:rPr>
            </w:pPr>
          </w:p>
        </w:tc>
      </w:tr>
      <w:tr w:rsidR="003167B3" w:rsidRPr="003167B3" w14:paraId="5CF1E94D" w14:textId="77777777" w:rsidTr="2B717C5A">
        <w:tc>
          <w:tcPr>
            <w:tcW w:w="11732" w:type="dxa"/>
          </w:tcPr>
          <w:p w14:paraId="5CF1E94A"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of Executive Director's determination in relation to an application for consent to damage and disturb an archaeological site for all other purposes, where damage is less than 50 per cent</w:t>
            </w:r>
          </w:p>
        </w:tc>
        <w:tc>
          <w:tcPr>
            <w:tcW w:w="2410" w:type="dxa"/>
          </w:tcPr>
          <w:p w14:paraId="5CF1E94B" w14:textId="62215859" w:rsidR="003167B3" w:rsidRPr="009C6FE7" w:rsidRDefault="78B45D0D" w:rsidP="1ABBA278">
            <w:pPr>
              <w:jc w:val="right"/>
              <w:rPr>
                <w:rFonts w:ascii="Arial" w:hAnsi="Arial" w:cs="Arial"/>
                <w:color w:val="323E48"/>
              </w:rPr>
            </w:pPr>
            <w:r w:rsidRPr="009C6FE7">
              <w:rPr>
                <w:rFonts w:ascii="Arial" w:hAnsi="Arial" w:cs="Arial"/>
                <w:color w:val="323E48"/>
              </w:rPr>
              <w:t>$</w:t>
            </w:r>
            <w:r w:rsidR="01FEE0CA" w:rsidRPr="009C6FE7">
              <w:rPr>
                <w:rFonts w:ascii="Arial" w:hAnsi="Arial" w:cs="Arial"/>
                <w:color w:val="323E48"/>
              </w:rPr>
              <w:t>1,352.7</w:t>
            </w:r>
            <w:r w:rsidR="154B435A" w:rsidRPr="009C6FE7">
              <w:rPr>
                <w:rFonts w:ascii="Arial" w:hAnsi="Arial" w:cs="Arial"/>
                <w:color w:val="323E48"/>
              </w:rPr>
              <w:t>0</w:t>
            </w:r>
          </w:p>
          <w:p w14:paraId="5CF1E94C" w14:textId="77777777" w:rsidR="003167B3" w:rsidRPr="009C6FE7" w:rsidRDefault="003167B3" w:rsidP="003167B3">
            <w:pPr>
              <w:jc w:val="right"/>
              <w:rPr>
                <w:rFonts w:ascii="Arial" w:hAnsi="Arial" w:cs="Arial"/>
                <w:color w:val="323E48"/>
                <w:szCs w:val="24"/>
              </w:rPr>
            </w:pPr>
          </w:p>
        </w:tc>
      </w:tr>
      <w:tr w:rsidR="003167B3" w:rsidRPr="003167B3" w14:paraId="5CF1E951" w14:textId="77777777" w:rsidTr="2B717C5A">
        <w:tc>
          <w:tcPr>
            <w:tcW w:w="11732" w:type="dxa"/>
          </w:tcPr>
          <w:p w14:paraId="5CF1E94E"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of Executive Director's determination in relation to an application for consent to damage and disturb an archaeological site for all other purposes, where damage is 50 per cent or more</w:t>
            </w:r>
          </w:p>
        </w:tc>
        <w:tc>
          <w:tcPr>
            <w:tcW w:w="2410" w:type="dxa"/>
          </w:tcPr>
          <w:p w14:paraId="4528545B" w14:textId="47859AEA" w:rsidR="78B45D0D" w:rsidRPr="009C6FE7" w:rsidRDefault="78B45D0D" w:rsidP="1ABBA278">
            <w:pPr>
              <w:jc w:val="right"/>
              <w:rPr>
                <w:rFonts w:ascii="Arial" w:hAnsi="Arial" w:cs="Arial"/>
                <w:color w:val="323E48"/>
              </w:rPr>
            </w:pPr>
            <w:r w:rsidRPr="009C6FE7">
              <w:rPr>
                <w:rFonts w:ascii="Arial" w:hAnsi="Arial" w:cs="Arial"/>
                <w:color w:val="323E48"/>
              </w:rPr>
              <w:t>$</w:t>
            </w:r>
            <w:r w:rsidR="22F71D9C" w:rsidRPr="009C6FE7">
              <w:rPr>
                <w:rFonts w:ascii="Arial" w:hAnsi="Arial" w:cs="Arial"/>
                <w:color w:val="323E48"/>
              </w:rPr>
              <w:t>2,705.4</w:t>
            </w:r>
            <w:r w:rsidR="1AA1AAA6" w:rsidRPr="009C6FE7">
              <w:rPr>
                <w:rFonts w:ascii="Arial" w:hAnsi="Arial" w:cs="Arial"/>
                <w:color w:val="323E48"/>
              </w:rPr>
              <w:t>0</w:t>
            </w:r>
          </w:p>
          <w:p w14:paraId="5CF1E950" w14:textId="77777777" w:rsidR="003167B3" w:rsidRPr="009C6FE7" w:rsidRDefault="003167B3" w:rsidP="003167B3">
            <w:pPr>
              <w:jc w:val="right"/>
              <w:rPr>
                <w:rFonts w:ascii="Arial" w:hAnsi="Arial" w:cs="Arial"/>
                <w:color w:val="323E48"/>
                <w:szCs w:val="24"/>
              </w:rPr>
            </w:pPr>
          </w:p>
        </w:tc>
      </w:tr>
      <w:tr w:rsidR="003167B3" w:rsidRPr="003167B3" w14:paraId="5CF1E959" w14:textId="77777777" w:rsidTr="2B717C5A">
        <w:tc>
          <w:tcPr>
            <w:tcW w:w="11732" w:type="dxa"/>
          </w:tcPr>
          <w:p w14:paraId="5CF1E952" w14:textId="77777777" w:rsidR="003167B3" w:rsidRPr="009C6FE7" w:rsidRDefault="003167B3" w:rsidP="003167B3">
            <w:pPr>
              <w:rPr>
                <w:rFonts w:ascii="Arial" w:hAnsi="Arial" w:cs="Arial"/>
                <w:color w:val="323E48"/>
                <w:szCs w:val="24"/>
              </w:rPr>
            </w:pPr>
            <w:r w:rsidRPr="009C6FE7">
              <w:rPr>
                <w:rFonts w:ascii="Arial" w:hAnsi="Arial" w:cs="Arial"/>
                <w:color w:val="323E48"/>
                <w:szCs w:val="24"/>
              </w:rPr>
              <w:t>Review of Executive Director's determination in relation to for an application for consent to:</w:t>
            </w:r>
          </w:p>
          <w:p w14:paraId="5CF1E953" w14:textId="77777777" w:rsidR="003167B3" w:rsidRPr="009C6FE7" w:rsidRDefault="003167B3" w:rsidP="003167B3">
            <w:pPr>
              <w:pStyle w:val="ListParagraph"/>
              <w:numPr>
                <w:ilvl w:val="0"/>
                <w:numId w:val="6"/>
              </w:numPr>
              <w:rPr>
                <w:rFonts w:ascii="Arial" w:hAnsi="Arial" w:cs="Arial"/>
                <w:color w:val="323E48"/>
                <w:szCs w:val="24"/>
              </w:rPr>
            </w:pPr>
            <w:r w:rsidRPr="009C6FE7">
              <w:rPr>
                <w:rFonts w:ascii="Arial" w:hAnsi="Arial" w:cs="Arial"/>
                <w:color w:val="323E48"/>
                <w:szCs w:val="24"/>
              </w:rPr>
              <w:t>possess, or dispose of archaeological artefacts, or</w:t>
            </w:r>
          </w:p>
          <w:p w14:paraId="5CF1E954" w14:textId="77777777" w:rsidR="003167B3" w:rsidRPr="009C6FE7" w:rsidRDefault="003167B3" w:rsidP="003167B3">
            <w:pPr>
              <w:pStyle w:val="ListParagraph"/>
              <w:numPr>
                <w:ilvl w:val="0"/>
                <w:numId w:val="6"/>
              </w:numPr>
              <w:rPr>
                <w:rFonts w:ascii="Arial" w:hAnsi="Arial" w:cs="Arial"/>
                <w:color w:val="323E48"/>
                <w:szCs w:val="24"/>
              </w:rPr>
            </w:pPr>
            <w:r w:rsidRPr="009C6FE7">
              <w:rPr>
                <w:rFonts w:ascii="Arial" w:hAnsi="Arial" w:cs="Arial"/>
                <w:color w:val="323E48"/>
                <w:szCs w:val="24"/>
              </w:rPr>
              <w:t>to undertake geotechnical or soil testing, trenching or boring in order to install, maintain or upgrade service utilities, or</w:t>
            </w:r>
          </w:p>
          <w:p w14:paraId="5CF1E955" w14:textId="77777777" w:rsidR="003167B3" w:rsidRPr="009C6FE7" w:rsidRDefault="003167B3" w:rsidP="003167B3">
            <w:pPr>
              <w:pStyle w:val="ListParagraph"/>
              <w:numPr>
                <w:ilvl w:val="0"/>
                <w:numId w:val="6"/>
              </w:numPr>
              <w:rPr>
                <w:rFonts w:ascii="Arial" w:hAnsi="Arial" w:cs="Arial"/>
                <w:color w:val="323E48"/>
                <w:szCs w:val="24"/>
              </w:rPr>
            </w:pPr>
            <w:r w:rsidRPr="009C6FE7">
              <w:rPr>
                <w:rFonts w:ascii="Arial" w:hAnsi="Arial" w:cs="Arial"/>
                <w:color w:val="323E48"/>
                <w:szCs w:val="24"/>
              </w:rPr>
              <w:t xml:space="preserve">a test archaeological excavation as part of a cultural heritage management plan, or </w:t>
            </w:r>
          </w:p>
          <w:p w14:paraId="5CF1E956" w14:textId="77777777" w:rsidR="00004700" w:rsidRPr="009C6FE7" w:rsidRDefault="003167B3" w:rsidP="00004700">
            <w:pPr>
              <w:pStyle w:val="ListParagraph"/>
              <w:numPr>
                <w:ilvl w:val="0"/>
                <w:numId w:val="6"/>
              </w:numPr>
              <w:rPr>
                <w:rFonts w:ascii="Arial" w:hAnsi="Arial" w:cs="Arial"/>
                <w:color w:val="323E48"/>
                <w:szCs w:val="24"/>
              </w:rPr>
            </w:pPr>
            <w:r w:rsidRPr="009C6FE7">
              <w:rPr>
                <w:rFonts w:ascii="Arial" w:hAnsi="Arial" w:cs="Arial"/>
                <w:color w:val="323E48"/>
                <w:szCs w:val="24"/>
              </w:rPr>
              <w:t>for all other purposes for which a consent is required in relation to an archaeological artefact, archaeological site or a site recorded in the Heritage Inventory</w:t>
            </w:r>
          </w:p>
        </w:tc>
        <w:tc>
          <w:tcPr>
            <w:tcW w:w="2410" w:type="dxa"/>
          </w:tcPr>
          <w:p w14:paraId="5CF1E957" w14:textId="7DC4D93A" w:rsidR="003167B3" w:rsidRPr="009C6FE7" w:rsidRDefault="78B45D0D" w:rsidP="1ABBA278">
            <w:pPr>
              <w:jc w:val="right"/>
              <w:rPr>
                <w:rFonts w:ascii="Arial" w:hAnsi="Arial" w:cs="Arial"/>
                <w:color w:val="323E48"/>
              </w:rPr>
            </w:pPr>
            <w:r w:rsidRPr="009C6FE7">
              <w:rPr>
                <w:rFonts w:ascii="Arial" w:hAnsi="Arial" w:cs="Arial"/>
                <w:color w:val="323E48"/>
              </w:rPr>
              <w:t>$</w:t>
            </w:r>
            <w:r w:rsidR="47F136CF" w:rsidRPr="009C6FE7">
              <w:rPr>
                <w:rFonts w:ascii="Arial" w:hAnsi="Arial" w:cs="Arial"/>
                <w:color w:val="323E48"/>
              </w:rPr>
              <w:t>489.</w:t>
            </w:r>
            <w:r w:rsidR="1FB7302F" w:rsidRPr="009C6FE7">
              <w:rPr>
                <w:rFonts w:ascii="Arial" w:hAnsi="Arial" w:cs="Arial"/>
                <w:color w:val="323E48"/>
              </w:rPr>
              <w:t>7</w:t>
            </w:r>
            <w:r w:rsidR="50CE0210" w:rsidRPr="009C6FE7">
              <w:rPr>
                <w:rFonts w:ascii="Arial" w:hAnsi="Arial" w:cs="Arial"/>
                <w:color w:val="323E48"/>
              </w:rPr>
              <w:t>0</w:t>
            </w:r>
          </w:p>
          <w:p w14:paraId="5CF1E958" w14:textId="77777777" w:rsidR="003167B3" w:rsidRPr="009C6FE7" w:rsidRDefault="003167B3" w:rsidP="003167B3">
            <w:pPr>
              <w:jc w:val="right"/>
              <w:rPr>
                <w:rFonts w:ascii="Arial" w:hAnsi="Arial" w:cs="Arial"/>
                <w:color w:val="323E48"/>
                <w:szCs w:val="24"/>
              </w:rPr>
            </w:pPr>
          </w:p>
        </w:tc>
      </w:tr>
    </w:tbl>
    <w:p w14:paraId="5CF1E95A" w14:textId="77777777" w:rsidR="00EC3F65" w:rsidRPr="003167B3" w:rsidRDefault="00121C0B">
      <w:pPr>
        <w:rPr>
          <w:rFonts w:ascii="Arial" w:hAnsi="Arial" w:cs="Arial"/>
          <w:szCs w:val="24"/>
        </w:rPr>
      </w:pPr>
      <w:r w:rsidRPr="003167B3">
        <w:rPr>
          <w:rFonts w:ascii="Arial" w:hAnsi="Arial" w:cs="Arial"/>
          <w:szCs w:val="24"/>
        </w:rPr>
        <w:tab/>
      </w:r>
    </w:p>
    <w:sectPr w:rsidR="00EC3F65" w:rsidRPr="003167B3" w:rsidSect="009D5588">
      <w:headerReference w:type="even" r:id="rId13"/>
      <w:headerReference w:type="default" r:id="rId14"/>
      <w:footerReference w:type="even" r:id="rId15"/>
      <w:footerReference w:type="default" r:id="rId16"/>
      <w:headerReference w:type="first" r:id="rId17"/>
      <w:footerReference w:type="first" r:id="rId18"/>
      <w:pgSz w:w="16838" w:h="11906" w:orient="landscape"/>
      <w:pgMar w:top="2552" w:right="1440" w:bottom="1440" w:left="1440"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A3910" w14:textId="77777777" w:rsidR="007F0D7A" w:rsidRDefault="007F0D7A" w:rsidP="00121C0B">
      <w:pPr>
        <w:spacing w:after="0" w:line="240" w:lineRule="auto"/>
      </w:pPr>
      <w:r>
        <w:separator/>
      </w:r>
    </w:p>
  </w:endnote>
  <w:endnote w:type="continuationSeparator" w:id="0">
    <w:p w14:paraId="5BCBF2B3" w14:textId="77777777" w:rsidR="007F0D7A" w:rsidRDefault="007F0D7A" w:rsidP="0012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61F2" w14:textId="284F12A8" w:rsidR="005C570D" w:rsidRDefault="005C570D">
    <w:pPr>
      <w:pStyle w:val="Footer"/>
    </w:pPr>
    <w:r>
      <w:rPr>
        <w:noProof/>
      </w:rPr>
      <mc:AlternateContent>
        <mc:Choice Requires="wps">
          <w:drawing>
            <wp:anchor distT="0" distB="0" distL="0" distR="0" simplePos="0" relativeHeight="251661312" behindDoc="0" locked="0" layoutInCell="1" allowOverlap="1" wp14:anchorId="7C8B6CE7" wp14:editId="066204D9">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1A65E" w14:textId="57E8506B" w:rsidR="005C570D" w:rsidRPr="005C570D" w:rsidRDefault="005C570D">
                          <w:pPr>
                            <w:rPr>
                              <w:rFonts w:ascii="Calibri" w:eastAsia="Calibri" w:hAnsi="Calibri" w:cs="Calibri"/>
                              <w:color w:val="000000"/>
                              <w:sz w:val="24"/>
                              <w:szCs w:val="24"/>
                            </w:rPr>
                          </w:pPr>
                          <w:r w:rsidRPr="005C570D">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8B6CE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7AD1A65E" w14:textId="57E8506B" w:rsidR="005C570D" w:rsidRPr="005C570D" w:rsidRDefault="005C570D">
                    <w:pPr>
                      <w:rPr>
                        <w:rFonts w:ascii="Calibri" w:eastAsia="Calibri" w:hAnsi="Calibri" w:cs="Calibri"/>
                        <w:color w:val="000000"/>
                        <w:sz w:val="24"/>
                        <w:szCs w:val="24"/>
                      </w:rPr>
                    </w:pPr>
                    <w:r w:rsidRPr="005C570D">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E960" w14:textId="1C599B8F" w:rsidR="00B92A3E" w:rsidRPr="009C6FE7" w:rsidRDefault="00B92A3E" w:rsidP="0076395F">
    <w:pPr>
      <w:pStyle w:val="Footer"/>
      <w:ind w:left="4847" w:firstLine="4179"/>
      <w:rPr>
        <w:rFonts w:ascii="Arial" w:hAnsi="Arial" w:cs="Arial"/>
        <w:color w:val="323E48"/>
      </w:rPr>
    </w:pPr>
  </w:p>
  <w:p w14:paraId="0A367D79" w14:textId="2CB7A52D" w:rsidR="00B92A3E" w:rsidRPr="009264FB" w:rsidRDefault="00B92A3E" w:rsidP="009C6FE7">
    <w:pPr>
      <w:pStyle w:val="Footer"/>
      <w:rPr>
        <w:rFonts w:ascii="Arial" w:hAnsi="Arial" w:cs="Arial"/>
        <w:b/>
        <w:color w:val="AA1E2E"/>
      </w:rPr>
    </w:pPr>
    <w:r w:rsidRPr="009264FB">
      <w:rPr>
        <w:rFonts w:ascii="Arial" w:hAnsi="Arial" w:cs="Arial"/>
        <w:b/>
        <w:color w:val="AA1E2E"/>
        <w:sz w:val="20"/>
        <w:szCs w:val="24"/>
      </w:rPr>
      <w:t>Heritage Regulations 2017 – Fee Schedule 20</w:t>
    </w:r>
    <w:r w:rsidR="002504D6" w:rsidRPr="009264FB">
      <w:rPr>
        <w:rFonts w:ascii="Arial" w:hAnsi="Arial" w:cs="Arial"/>
        <w:b/>
        <w:color w:val="AA1E2E"/>
        <w:sz w:val="20"/>
        <w:szCs w:val="24"/>
      </w:rPr>
      <w:t>20</w:t>
    </w:r>
    <w:r w:rsidRPr="009264FB">
      <w:rPr>
        <w:rFonts w:ascii="Arial" w:hAnsi="Arial" w:cs="Arial"/>
        <w:b/>
        <w:color w:val="AA1E2E"/>
        <w:sz w:val="20"/>
        <w:szCs w:val="24"/>
      </w:rPr>
      <w:t>-2</w:t>
    </w:r>
    <w:r w:rsidR="002504D6" w:rsidRPr="009264FB">
      <w:rPr>
        <w:rFonts w:ascii="Arial" w:hAnsi="Arial" w:cs="Arial"/>
        <w:b/>
        <w:color w:val="AA1E2E"/>
        <w:sz w:val="20"/>
        <w:szCs w:val="24"/>
      </w:rPr>
      <w:t>1</w:t>
    </w:r>
  </w:p>
  <w:p w14:paraId="5CF1E961" w14:textId="3F8005D5" w:rsidR="00B92A3E" w:rsidRPr="009264FB" w:rsidRDefault="00B92A3E" w:rsidP="009264FB">
    <w:pPr>
      <w:pStyle w:val="Footer"/>
      <w:ind w:left="13680"/>
      <w:jc w:val="center"/>
      <w:rPr>
        <w:rFonts w:ascii="Arial" w:hAnsi="Arial" w:cs="Arial"/>
        <w:color w:val="AA1E2E"/>
      </w:rPr>
    </w:pPr>
    <w:r w:rsidRPr="009264FB">
      <w:rPr>
        <w:rFonts w:ascii="Arial" w:hAnsi="Arial" w:cs="Arial"/>
        <w:b/>
        <w:bCs/>
        <w:color w:val="AA1E2E"/>
        <w:sz w:val="24"/>
        <w:szCs w:val="24"/>
      </w:rPr>
      <w:fldChar w:fldCharType="begin"/>
    </w:r>
    <w:r w:rsidRPr="009264FB">
      <w:rPr>
        <w:rFonts w:ascii="Arial" w:hAnsi="Arial" w:cs="Arial"/>
        <w:b/>
        <w:bCs/>
        <w:color w:val="AA1E2E"/>
      </w:rPr>
      <w:instrText xml:space="preserve"> PAGE </w:instrText>
    </w:r>
    <w:r w:rsidRPr="009264FB">
      <w:rPr>
        <w:rFonts w:ascii="Arial" w:hAnsi="Arial" w:cs="Arial"/>
        <w:b/>
        <w:bCs/>
        <w:color w:val="AA1E2E"/>
        <w:sz w:val="24"/>
        <w:szCs w:val="24"/>
      </w:rPr>
      <w:fldChar w:fldCharType="separate"/>
    </w:r>
    <w:r w:rsidRPr="009264FB">
      <w:rPr>
        <w:rFonts w:ascii="Arial" w:hAnsi="Arial" w:cs="Arial"/>
        <w:b/>
        <w:bCs/>
        <w:noProof/>
        <w:color w:val="AA1E2E"/>
      </w:rPr>
      <w:t>3</w:t>
    </w:r>
    <w:r w:rsidRPr="009264FB">
      <w:rPr>
        <w:rFonts w:ascii="Arial" w:hAnsi="Arial" w:cs="Arial"/>
        <w:b/>
        <w:bCs/>
        <w:color w:val="AA1E2E"/>
        <w:sz w:val="24"/>
        <w:szCs w:val="24"/>
      </w:rPr>
      <w:fldChar w:fldCharType="end"/>
    </w:r>
  </w:p>
  <w:p w14:paraId="5CF1E962" w14:textId="77777777" w:rsidR="00B92A3E" w:rsidRDefault="00B92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D585" w14:textId="3B767229" w:rsidR="005C570D" w:rsidRDefault="005C570D">
    <w:pPr>
      <w:pStyle w:val="Footer"/>
    </w:pPr>
    <w:r>
      <w:rPr>
        <w:noProof/>
      </w:rPr>
      <mc:AlternateContent>
        <mc:Choice Requires="wps">
          <w:drawing>
            <wp:anchor distT="0" distB="0" distL="0" distR="0" simplePos="0" relativeHeight="251660288" behindDoc="0" locked="0" layoutInCell="1" allowOverlap="1" wp14:anchorId="4A0658B3" wp14:editId="6EC776F6">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491BF5" w14:textId="2EC24B17" w:rsidR="005C570D" w:rsidRPr="005C570D" w:rsidRDefault="005C570D">
                          <w:pPr>
                            <w:rPr>
                              <w:rFonts w:ascii="Calibri" w:eastAsia="Calibri" w:hAnsi="Calibri" w:cs="Calibri"/>
                              <w:color w:val="000000"/>
                              <w:sz w:val="24"/>
                              <w:szCs w:val="24"/>
                            </w:rPr>
                          </w:pPr>
                          <w:r w:rsidRPr="005C570D">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0658B3"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MkKGdAjAgAATQQAAA4AAAAAAAAAAAAAAAAALgIAAGRycy9lMm9Eb2MueG1sUEsBAi0A&#10;FAAGAAgAAAAhAISw0yjWAAAAAwEAAA8AAAAAAAAAAAAAAAAAfQQAAGRycy9kb3ducmV2LnhtbFBL&#10;BQYAAAAABAAEAPMAAACABQAAAAA=&#10;" filled="f" stroked="f">
              <v:textbox style="mso-fit-shape-to-text:t" inset="0,0,0,0">
                <w:txbxContent>
                  <w:p w14:paraId="2B491BF5" w14:textId="2EC24B17" w:rsidR="005C570D" w:rsidRPr="005C570D" w:rsidRDefault="005C570D">
                    <w:pPr>
                      <w:rPr>
                        <w:rFonts w:ascii="Calibri" w:eastAsia="Calibri" w:hAnsi="Calibri" w:cs="Calibri"/>
                        <w:color w:val="000000"/>
                        <w:sz w:val="24"/>
                        <w:szCs w:val="24"/>
                      </w:rPr>
                    </w:pPr>
                    <w:r w:rsidRPr="005C570D">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2B5E" w14:textId="77777777" w:rsidR="007F0D7A" w:rsidRDefault="007F0D7A" w:rsidP="00121C0B">
      <w:pPr>
        <w:spacing w:after="0" w:line="240" w:lineRule="auto"/>
      </w:pPr>
      <w:r>
        <w:separator/>
      </w:r>
    </w:p>
  </w:footnote>
  <w:footnote w:type="continuationSeparator" w:id="0">
    <w:p w14:paraId="57C6B513" w14:textId="77777777" w:rsidR="007F0D7A" w:rsidRDefault="007F0D7A" w:rsidP="0012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E446" w14:textId="77777777" w:rsidR="008E4815" w:rsidRDefault="008E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E95F" w14:textId="4AEB4BF4" w:rsidR="00B92A3E" w:rsidRDefault="00B92A3E">
    <w:pPr>
      <w:pStyle w:val="Header"/>
    </w:pPr>
    <w:r>
      <w:rPr>
        <w:noProof/>
        <w:lang w:val="en-US"/>
      </w:rPr>
      <w:drawing>
        <wp:anchor distT="0" distB="0" distL="114300" distR="114300" simplePos="0" relativeHeight="251659264" behindDoc="1" locked="0" layoutInCell="1" allowOverlap="1" wp14:anchorId="51BC8074" wp14:editId="0088018C">
          <wp:simplePos x="0" y="0"/>
          <wp:positionH relativeFrom="margin">
            <wp:align>right</wp:align>
          </wp:positionH>
          <wp:positionV relativeFrom="paragraph">
            <wp:posOffset>150495</wp:posOffset>
          </wp:positionV>
          <wp:extent cx="2185148" cy="9525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_Letterhead.0.4.pdf"/>
                  <pic:cNvPicPr/>
                </pic:nvPicPr>
                <pic:blipFill rotWithShape="1">
                  <a:blip r:embed="rId1">
                    <a:extLst>
                      <a:ext uri="{28A0092B-C50C-407E-A947-70E740481C1C}">
                        <a14:useLocalDpi xmlns:a14="http://schemas.microsoft.com/office/drawing/2010/main" val="0"/>
                      </a:ext>
                    </a:extLst>
                  </a:blip>
                  <a:srcRect l="37269" t="3928" r="38095" b="88483"/>
                  <a:stretch/>
                </pic:blipFill>
                <pic:spPr bwMode="auto">
                  <a:xfrm>
                    <a:off x="0" y="0"/>
                    <a:ext cx="2185148"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0B19" w14:textId="77777777" w:rsidR="008E4815" w:rsidRDefault="008E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4D7"/>
    <w:multiLevelType w:val="hybridMultilevel"/>
    <w:tmpl w:val="93964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26A74"/>
    <w:multiLevelType w:val="hybridMultilevel"/>
    <w:tmpl w:val="6CB0F8A0"/>
    <w:lvl w:ilvl="0" w:tplc="16CC0BA8">
      <w:start w:val="1"/>
      <w:numFmt w:val="lowerRoman"/>
      <w:lvlText w:val="(%1)"/>
      <w:lvlJc w:val="left"/>
      <w:pPr>
        <w:ind w:left="768" w:hanging="72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 w15:restartNumberingAfterBreak="0">
    <w:nsid w:val="16F571E8"/>
    <w:multiLevelType w:val="hybridMultilevel"/>
    <w:tmpl w:val="8A845394"/>
    <w:lvl w:ilvl="0" w:tplc="3C805F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5A1B25"/>
    <w:multiLevelType w:val="hybridMultilevel"/>
    <w:tmpl w:val="BEB02056"/>
    <w:lvl w:ilvl="0" w:tplc="41745F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C203DA"/>
    <w:multiLevelType w:val="hybridMultilevel"/>
    <w:tmpl w:val="70B06842"/>
    <w:lvl w:ilvl="0" w:tplc="7D7C81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0B697D"/>
    <w:multiLevelType w:val="hybridMultilevel"/>
    <w:tmpl w:val="030AECC0"/>
    <w:lvl w:ilvl="0" w:tplc="A7365F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F92A4A"/>
    <w:multiLevelType w:val="hybridMultilevel"/>
    <w:tmpl w:val="ABE4C9EC"/>
    <w:lvl w:ilvl="0" w:tplc="4C34C9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0B"/>
    <w:rsid w:val="00004700"/>
    <w:rsid w:val="000A6209"/>
    <w:rsid w:val="00121C0B"/>
    <w:rsid w:val="001417C3"/>
    <w:rsid w:val="00141A31"/>
    <w:rsid w:val="002504D6"/>
    <w:rsid w:val="002C59E3"/>
    <w:rsid w:val="003167B3"/>
    <w:rsid w:val="003B6515"/>
    <w:rsid w:val="003E7A21"/>
    <w:rsid w:val="004350A2"/>
    <w:rsid w:val="0047927B"/>
    <w:rsid w:val="005C570D"/>
    <w:rsid w:val="005E4C9B"/>
    <w:rsid w:val="0065280C"/>
    <w:rsid w:val="006F75A4"/>
    <w:rsid w:val="0076395F"/>
    <w:rsid w:val="007701DC"/>
    <w:rsid w:val="007C34E0"/>
    <w:rsid w:val="007F0D7A"/>
    <w:rsid w:val="00864896"/>
    <w:rsid w:val="008E4815"/>
    <w:rsid w:val="009007D6"/>
    <w:rsid w:val="009264FB"/>
    <w:rsid w:val="009C6FE7"/>
    <w:rsid w:val="009D5588"/>
    <w:rsid w:val="00A458E7"/>
    <w:rsid w:val="00A60026"/>
    <w:rsid w:val="00A64B08"/>
    <w:rsid w:val="00B32695"/>
    <w:rsid w:val="00B92A3E"/>
    <w:rsid w:val="00D26626"/>
    <w:rsid w:val="00D359BD"/>
    <w:rsid w:val="00E152E0"/>
    <w:rsid w:val="00EC3F65"/>
    <w:rsid w:val="00EC7FC5"/>
    <w:rsid w:val="00F44129"/>
    <w:rsid w:val="00F511BC"/>
    <w:rsid w:val="00F9062C"/>
    <w:rsid w:val="00FD59DE"/>
    <w:rsid w:val="00FE14EF"/>
    <w:rsid w:val="00FF2D72"/>
    <w:rsid w:val="01FEE0CA"/>
    <w:rsid w:val="04328E12"/>
    <w:rsid w:val="08F9B2D2"/>
    <w:rsid w:val="0AB8EF2C"/>
    <w:rsid w:val="0FB58B68"/>
    <w:rsid w:val="0FC60170"/>
    <w:rsid w:val="110F0853"/>
    <w:rsid w:val="111737F7"/>
    <w:rsid w:val="154B435A"/>
    <w:rsid w:val="15A7410D"/>
    <w:rsid w:val="15FBA1D3"/>
    <w:rsid w:val="1AA1AAA6"/>
    <w:rsid w:val="1ABBA278"/>
    <w:rsid w:val="1B0B8B42"/>
    <w:rsid w:val="1DC8F13D"/>
    <w:rsid w:val="1DDD3CE2"/>
    <w:rsid w:val="1E1BAAF2"/>
    <w:rsid w:val="1E7F7B0E"/>
    <w:rsid w:val="1F444EB7"/>
    <w:rsid w:val="1FB7302F"/>
    <w:rsid w:val="20DA0F0B"/>
    <w:rsid w:val="20EBEF73"/>
    <w:rsid w:val="20EC72AE"/>
    <w:rsid w:val="2192612F"/>
    <w:rsid w:val="21D77A49"/>
    <w:rsid w:val="22A50A9C"/>
    <w:rsid w:val="22F71D9C"/>
    <w:rsid w:val="236F3870"/>
    <w:rsid w:val="23AB557F"/>
    <w:rsid w:val="23DA81FC"/>
    <w:rsid w:val="24004225"/>
    <w:rsid w:val="24B0A665"/>
    <w:rsid w:val="2B12B5B7"/>
    <w:rsid w:val="2B717C5A"/>
    <w:rsid w:val="2EF1F4D8"/>
    <w:rsid w:val="309D8CE4"/>
    <w:rsid w:val="32A37D06"/>
    <w:rsid w:val="32D9DF7C"/>
    <w:rsid w:val="35385FEC"/>
    <w:rsid w:val="3559B2A3"/>
    <w:rsid w:val="3824DDED"/>
    <w:rsid w:val="3B604209"/>
    <w:rsid w:val="3BDDE2A6"/>
    <w:rsid w:val="404FAA90"/>
    <w:rsid w:val="40FA5E9A"/>
    <w:rsid w:val="41B0E663"/>
    <w:rsid w:val="424D242A"/>
    <w:rsid w:val="46DB081D"/>
    <w:rsid w:val="4701F4B6"/>
    <w:rsid w:val="47F136CF"/>
    <w:rsid w:val="488BB8B8"/>
    <w:rsid w:val="497F928B"/>
    <w:rsid w:val="49DF183D"/>
    <w:rsid w:val="4A6FFCAB"/>
    <w:rsid w:val="4C3AD6C4"/>
    <w:rsid w:val="4D4B66D8"/>
    <w:rsid w:val="4F83961C"/>
    <w:rsid w:val="500641C8"/>
    <w:rsid w:val="5049B05B"/>
    <w:rsid w:val="50BB6404"/>
    <w:rsid w:val="50CE0210"/>
    <w:rsid w:val="542AB323"/>
    <w:rsid w:val="581153AD"/>
    <w:rsid w:val="587C8D80"/>
    <w:rsid w:val="5C673EDA"/>
    <w:rsid w:val="5D0BF881"/>
    <w:rsid w:val="616AE390"/>
    <w:rsid w:val="619F0D96"/>
    <w:rsid w:val="62D46CD2"/>
    <w:rsid w:val="6310D5CD"/>
    <w:rsid w:val="676BA820"/>
    <w:rsid w:val="679F8C24"/>
    <w:rsid w:val="67B1C460"/>
    <w:rsid w:val="68EF1D73"/>
    <w:rsid w:val="68EF3907"/>
    <w:rsid w:val="6B8B1E1F"/>
    <w:rsid w:val="6BE2FFB9"/>
    <w:rsid w:val="6CB86444"/>
    <w:rsid w:val="6D53BA4A"/>
    <w:rsid w:val="6E5419C8"/>
    <w:rsid w:val="71770D8C"/>
    <w:rsid w:val="72052351"/>
    <w:rsid w:val="72A8F453"/>
    <w:rsid w:val="753887A7"/>
    <w:rsid w:val="77AEBFCD"/>
    <w:rsid w:val="78B45D0D"/>
    <w:rsid w:val="79C1151B"/>
    <w:rsid w:val="7D095046"/>
    <w:rsid w:val="7D0A1BF8"/>
    <w:rsid w:val="7D1D9D98"/>
    <w:rsid w:val="7F11C444"/>
    <w:rsid w:val="7FA1C8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E8DA"/>
  <w15:chartTrackingRefBased/>
  <w15:docId w15:val="{AF96ADF0-05D9-4D74-8F1E-25523A8D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C0B"/>
  </w:style>
  <w:style w:type="paragraph" w:styleId="Footer">
    <w:name w:val="footer"/>
    <w:basedOn w:val="Normal"/>
    <w:link w:val="FooterChar"/>
    <w:uiPriority w:val="99"/>
    <w:unhideWhenUsed/>
    <w:rsid w:val="0012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C0B"/>
  </w:style>
  <w:style w:type="table" w:styleId="TableGrid">
    <w:name w:val="Table Grid"/>
    <w:basedOn w:val="TableNormal"/>
    <w:uiPriority w:val="59"/>
    <w:rsid w:val="0012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5351">
      <w:bodyDiv w:val="1"/>
      <w:marLeft w:val="0"/>
      <w:marRight w:val="0"/>
      <w:marTop w:val="0"/>
      <w:marBottom w:val="0"/>
      <w:divBdr>
        <w:top w:val="none" w:sz="0" w:space="0" w:color="auto"/>
        <w:left w:val="none" w:sz="0" w:space="0" w:color="auto"/>
        <w:bottom w:val="none" w:sz="0" w:space="0" w:color="auto"/>
        <w:right w:val="none" w:sz="0" w:space="0" w:color="auto"/>
      </w:divBdr>
    </w:div>
    <w:div w:id="100030204">
      <w:bodyDiv w:val="1"/>
      <w:marLeft w:val="0"/>
      <w:marRight w:val="0"/>
      <w:marTop w:val="0"/>
      <w:marBottom w:val="0"/>
      <w:divBdr>
        <w:top w:val="none" w:sz="0" w:space="0" w:color="auto"/>
        <w:left w:val="none" w:sz="0" w:space="0" w:color="auto"/>
        <w:bottom w:val="none" w:sz="0" w:space="0" w:color="auto"/>
        <w:right w:val="none" w:sz="0" w:space="0" w:color="auto"/>
      </w:divBdr>
    </w:div>
    <w:div w:id="128938221">
      <w:bodyDiv w:val="1"/>
      <w:marLeft w:val="0"/>
      <w:marRight w:val="0"/>
      <w:marTop w:val="0"/>
      <w:marBottom w:val="0"/>
      <w:divBdr>
        <w:top w:val="none" w:sz="0" w:space="0" w:color="auto"/>
        <w:left w:val="none" w:sz="0" w:space="0" w:color="auto"/>
        <w:bottom w:val="none" w:sz="0" w:space="0" w:color="auto"/>
        <w:right w:val="none" w:sz="0" w:space="0" w:color="auto"/>
      </w:divBdr>
    </w:div>
    <w:div w:id="194588454">
      <w:bodyDiv w:val="1"/>
      <w:marLeft w:val="0"/>
      <w:marRight w:val="0"/>
      <w:marTop w:val="0"/>
      <w:marBottom w:val="0"/>
      <w:divBdr>
        <w:top w:val="none" w:sz="0" w:space="0" w:color="auto"/>
        <w:left w:val="none" w:sz="0" w:space="0" w:color="auto"/>
        <w:bottom w:val="none" w:sz="0" w:space="0" w:color="auto"/>
        <w:right w:val="none" w:sz="0" w:space="0" w:color="auto"/>
      </w:divBdr>
    </w:div>
    <w:div w:id="310138549">
      <w:bodyDiv w:val="1"/>
      <w:marLeft w:val="0"/>
      <w:marRight w:val="0"/>
      <w:marTop w:val="0"/>
      <w:marBottom w:val="0"/>
      <w:divBdr>
        <w:top w:val="none" w:sz="0" w:space="0" w:color="auto"/>
        <w:left w:val="none" w:sz="0" w:space="0" w:color="auto"/>
        <w:bottom w:val="none" w:sz="0" w:space="0" w:color="auto"/>
        <w:right w:val="none" w:sz="0" w:space="0" w:color="auto"/>
      </w:divBdr>
    </w:div>
    <w:div w:id="642546485">
      <w:bodyDiv w:val="1"/>
      <w:marLeft w:val="0"/>
      <w:marRight w:val="0"/>
      <w:marTop w:val="0"/>
      <w:marBottom w:val="0"/>
      <w:divBdr>
        <w:top w:val="none" w:sz="0" w:space="0" w:color="auto"/>
        <w:left w:val="none" w:sz="0" w:space="0" w:color="auto"/>
        <w:bottom w:val="none" w:sz="0" w:space="0" w:color="auto"/>
        <w:right w:val="none" w:sz="0" w:space="0" w:color="auto"/>
      </w:divBdr>
    </w:div>
    <w:div w:id="684291044">
      <w:bodyDiv w:val="1"/>
      <w:marLeft w:val="0"/>
      <w:marRight w:val="0"/>
      <w:marTop w:val="0"/>
      <w:marBottom w:val="0"/>
      <w:divBdr>
        <w:top w:val="none" w:sz="0" w:space="0" w:color="auto"/>
        <w:left w:val="none" w:sz="0" w:space="0" w:color="auto"/>
        <w:bottom w:val="none" w:sz="0" w:space="0" w:color="auto"/>
        <w:right w:val="none" w:sz="0" w:space="0" w:color="auto"/>
      </w:divBdr>
    </w:div>
    <w:div w:id="812868638">
      <w:bodyDiv w:val="1"/>
      <w:marLeft w:val="0"/>
      <w:marRight w:val="0"/>
      <w:marTop w:val="0"/>
      <w:marBottom w:val="0"/>
      <w:divBdr>
        <w:top w:val="none" w:sz="0" w:space="0" w:color="auto"/>
        <w:left w:val="none" w:sz="0" w:space="0" w:color="auto"/>
        <w:bottom w:val="none" w:sz="0" w:space="0" w:color="auto"/>
        <w:right w:val="none" w:sz="0" w:space="0" w:color="auto"/>
      </w:divBdr>
    </w:div>
    <w:div w:id="864758100">
      <w:bodyDiv w:val="1"/>
      <w:marLeft w:val="0"/>
      <w:marRight w:val="0"/>
      <w:marTop w:val="0"/>
      <w:marBottom w:val="0"/>
      <w:divBdr>
        <w:top w:val="none" w:sz="0" w:space="0" w:color="auto"/>
        <w:left w:val="none" w:sz="0" w:space="0" w:color="auto"/>
        <w:bottom w:val="none" w:sz="0" w:space="0" w:color="auto"/>
        <w:right w:val="none" w:sz="0" w:space="0" w:color="auto"/>
      </w:divBdr>
    </w:div>
    <w:div w:id="880628473">
      <w:bodyDiv w:val="1"/>
      <w:marLeft w:val="0"/>
      <w:marRight w:val="0"/>
      <w:marTop w:val="0"/>
      <w:marBottom w:val="0"/>
      <w:divBdr>
        <w:top w:val="none" w:sz="0" w:space="0" w:color="auto"/>
        <w:left w:val="none" w:sz="0" w:space="0" w:color="auto"/>
        <w:bottom w:val="none" w:sz="0" w:space="0" w:color="auto"/>
        <w:right w:val="none" w:sz="0" w:space="0" w:color="auto"/>
      </w:divBdr>
    </w:div>
    <w:div w:id="948202644">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1098795031">
      <w:bodyDiv w:val="1"/>
      <w:marLeft w:val="0"/>
      <w:marRight w:val="0"/>
      <w:marTop w:val="0"/>
      <w:marBottom w:val="0"/>
      <w:divBdr>
        <w:top w:val="none" w:sz="0" w:space="0" w:color="auto"/>
        <w:left w:val="none" w:sz="0" w:space="0" w:color="auto"/>
        <w:bottom w:val="none" w:sz="0" w:space="0" w:color="auto"/>
        <w:right w:val="none" w:sz="0" w:space="0" w:color="auto"/>
      </w:divBdr>
    </w:div>
    <w:div w:id="1132287703">
      <w:bodyDiv w:val="1"/>
      <w:marLeft w:val="0"/>
      <w:marRight w:val="0"/>
      <w:marTop w:val="0"/>
      <w:marBottom w:val="0"/>
      <w:divBdr>
        <w:top w:val="none" w:sz="0" w:space="0" w:color="auto"/>
        <w:left w:val="none" w:sz="0" w:space="0" w:color="auto"/>
        <w:bottom w:val="none" w:sz="0" w:space="0" w:color="auto"/>
        <w:right w:val="none" w:sz="0" w:space="0" w:color="auto"/>
      </w:divBdr>
    </w:div>
    <w:div w:id="1411391572">
      <w:bodyDiv w:val="1"/>
      <w:marLeft w:val="0"/>
      <w:marRight w:val="0"/>
      <w:marTop w:val="0"/>
      <w:marBottom w:val="0"/>
      <w:divBdr>
        <w:top w:val="none" w:sz="0" w:space="0" w:color="auto"/>
        <w:left w:val="none" w:sz="0" w:space="0" w:color="auto"/>
        <w:bottom w:val="none" w:sz="0" w:space="0" w:color="auto"/>
        <w:right w:val="none" w:sz="0" w:space="0" w:color="auto"/>
      </w:divBdr>
    </w:div>
    <w:div w:id="1494367661">
      <w:bodyDiv w:val="1"/>
      <w:marLeft w:val="0"/>
      <w:marRight w:val="0"/>
      <w:marTop w:val="0"/>
      <w:marBottom w:val="0"/>
      <w:divBdr>
        <w:top w:val="none" w:sz="0" w:space="0" w:color="auto"/>
        <w:left w:val="none" w:sz="0" w:space="0" w:color="auto"/>
        <w:bottom w:val="none" w:sz="0" w:space="0" w:color="auto"/>
        <w:right w:val="none" w:sz="0" w:space="0" w:color="auto"/>
      </w:divBdr>
    </w:div>
    <w:div w:id="1928805474">
      <w:bodyDiv w:val="1"/>
      <w:marLeft w:val="0"/>
      <w:marRight w:val="0"/>
      <w:marTop w:val="0"/>
      <w:marBottom w:val="0"/>
      <w:divBdr>
        <w:top w:val="none" w:sz="0" w:space="0" w:color="auto"/>
        <w:left w:val="none" w:sz="0" w:space="0" w:color="auto"/>
        <w:bottom w:val="none" w:sz="0" w:space="0" w:color="auto"/>
        <w:right w:val="none" w:sz="0" w:space="0" w:color="auto"/>
      </w:divBdr>
    </w:div>
    <w:div w:id="1978533818">
      <w:bodyDiv w:val="1"/>
      <w:marLeft w:val="0"/>
      <w:marRight w:val="0"/>
      <w:marTop w:val="0"/>
      <w:marBottom w:val="0"/>
      <w:divBdr>
        <w:top w:val="none" w:sz="0" w:space="0" w:color="auto"/>
        <w:left w:val="none" w:sz="0" w:space="0" w:color="auto"/>
        <w:bottom w:val="none" w:sz="0" w:space="0" w:color="auto"/>
        <w:right w:val="none" w:sz="0" w:space="0" w:color="auto"/>
      </w:divBdr>
    </w:div>
    <w:div w:id="1988363475">
      <w:bodyDiv w:val="1"/>
      <w:marLeft w:val="0"/>
      <w:marRight w:val="0"/>
      <w:marTop w:val="0"/>
      <w:marBottom w:val="0"/>
      <w:divBdr>
        <w:top w:val="none" w:sz="0" w:space="0" w:color="auto"/>
        <w:left w:val="none" w:sz="0" w:space="0" w:color="auto"/>
        <w:bottom w:val="none" w:sz="0" w:space="0" w:color="auto"/>
        <w:right w:val="none" w:sz="0" w:space="0" w:color="auto"/>
      </w:divBdr>
    </w:div>
    <w:div w:id="2034072060">
      <w:bodyDiv w:val="1"/>
      <w:marLeft w:val="0"/>
      <w:marRight w:val="0"/>
      <w:marTop w:val="0"/>
      <w:marBottom w:val="0"/>
      <w:divBdr>
        <w:top w:val="none" w:sz="0" w:space="0" w:color="auto"/>
        <w:left w:val="none" w:sz="0" w:space="0" w:color="auto"/>
        <w:bottom w:val="none" w:sz="0" w:space="0" w:color="auto"/>
        <w:right w:val="none" w:sz="0" w:space="0" w:color="auto"/>
      </w:divBdr>
    </w:div>
    <w:div w:id="2107341977">
      <w:bodyDiv w:val="1"/>
      <w:marLeft w:val="0"/>
      <w:marRight w:val="0"/>
      <w:marTop w:val="0"/>
      <w:marBottom w:val="0"/>
      <w:divBdr>
        <w:top w:val="none" w:sz="0" w:space="0" w:color="auto"/>
        <w:left w:val="none" w:sz="0" w:space="0" w:color="auto"/>
        <w:bottom w:val="none" w:sz="0" w:space="0" w:color="auto"/>
        <w:right w:val="none" w:sz="0" w:space="0" w:color="auto"/>
      </w:divBdr>
    </w:div>
    <w:div w:id="2114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st - MS Excel" ma:contentTypeID="0x0101002517F445A0F35E449C98AAD631F2B03853000A9D5644364EA44B9883556D02C84FA9" ma:contentTypeVersion="17" ma:contentTypeDescription="Use for all other lists created by individuals which may assist them with carrying out their duties, e.g. stakeholder lists, contact lists etc. created in MS Excel - DEPI" ma:contentTypeScope="" ma:versionID="a30c17e3e9f1abc7bedbb51b0b0838a9">
  <xsd:schema xmlns:xsd="http://www.w3.org/2001/XMLSchema" xmlns:xs="http://www.w3.org/2001/XMLSchema" xmlns:p="http://schemas.microsoft.com/office/2006/metadata/properties" xmlns:ns1="http://schemas.microsoft.com/sharepoint/v3" xmlns:ns2="a5f32de4-e402-4188-b034-e71ca7d22e54" xmlns:ns3="9fd47c19-1c4a-4d7d-b342-c10cef269344" xmlns:ns4="7ef0c57d-ba0d-4eb1-8ef4-d46a3b6b7277" xmlns:ns5="c42f9c80-6326-4d3e-8624-f1221488f056" targetNamespace="http://schemas.microsoft.com/office/2006/metadata/properties" ma:root="true" ma:fieldsID="d7e991de9d4b8d5f6252bbad8e8c9a5f" ns1:_="" ns2:_="" ns3:_="" ns4:_="" ns5:_="">
    <xsd:import namespace="http://schemas.microsoft.com/sharepoint/v3"/>
    <xsd:import namespace="a5f32de4-e402-4188-b034-e71ca7d22e54"/>
    <xsd:import namespace="9fd47c19-1c4a-4d7d-b342-c10cef269344"/>
    <xsd:import namespace="7ef0c57d-ba0d-4eb1-8ef4-d46a3b6b7277"/>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Claimant_x0020_Name" minOccurs="0"/>
                <xsd:element ref="ns4:Governance_x0020_Function" minOccurs="0"/>
                <xsd:element ref="ns3:fc01d91d9ac346658516d76592d70065" minOccurs="0"/>
                <xsd:element ref="ns4:Payment_x0020_period" minOccurs="0"/>
                <xsd:element ref="ns4:Resource_x0020_type" minOccurs="0"/>
                <xsd:element ref="ns5:Admin_x0020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Claimant_x0020_Name" ma:index="31" nillable="true" ma:displayName="Claimant Name" ma:description="Name of a person making a claim. Could be use for insurance claims, native title claims etc." ma:internalName="Claima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4"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f0c57d-ba0d-4eb1-8ef4-d46a3b6b7277" elementFormDefault="qualified">
    <xsd:import namespace="http://schemas.microsoft.com/office/2006/documentManagement/types"/>
    <xsd:import namespace="http://schemas.microsoft.com/office/infopath/2007/PartnerControls"/>
    <xsd:element name="Governance_x0020_Function" ma:index="32" nillable="true" ma:displayName="Governance" ma:format="Dropdown" ma:internalName="Governance_x0020_Function">
      <xsd:simpleType>
        <xsd:restriction base="dms:Choice">
          <xsd:enumeration value="Policies, protocols, forms and guidelines"/>
          <xsd:enumeration value="Members"/>
          <xsd:enumeration value="Occupational Health and Safety"/>
          <xsd:enumeration value="Insurance and Risk Management (VMIA)"/>
          <xsd:enumeration value="Correspondence - Chair"/>
          <xsd:enumeration value="Correspondence - Secretariat and general enquiries"/>
          <xsd:enumeration value="Instruments of Delegation"/>
          <xsd:enumeration value="Legal advice"/>
          <xsd:enumeration value="Freedom of Information (FOI) Requests"/>
        </xsd:restriction>
      </xsd:simpleType>
    </xsd:element>
    <xsd:element name="Payment_x0020_period" ma:index="35" nillable="true" ma:displayName="Payment period" ma:default="NA" ma:description="only use this column for payment of sitting fees files" ma:format="Dropdown" ma:internalName="Payment_x0020_period">
      <xsd:simpleType>
        <xsd:restriction base="dms:Choice">
          <xsd:enumeration value="NA"/>
          <xsd:enumeration value="January-February"/>
          <xsd:enumeration value="March-April"/>
          <xsd:enumeration value="May-June"/>
          <xsd:enumeration value="July-August"/>
          <xsd:enumeration value="September-October"/>
          <xsd:enumeration value="November-December"/>
          <xsd:enumeration value="Member Claims"/>
        </xsd:restriction>
      </xsd:simpleType>
    </xsd:element>
    <xsd:element name="Resource_x0020_type" ma:index="36" nillable="true" ma:displayName="Function" ma:format="Dropdown" ma:internalName="Resource_x0020_type">
      <xsd:simpleType>
        <xsd:restriction base="dms:Choice">
          <xsd:enumeration value="Protocols and Forms"/>
          <xsd:enumeration value="Policies and Guidelines"/>
          <xsd:enumeration value="Terms of Reference"/>
          <xsd:enumeration value="Correspondence in"/>
          <xsd:enumeration value="Correspondence out"/>
          <xsd:enumeration value="Meetings"/>
          <xsd:enumeration value="Ministerial Briefing"/>
          <xsd:enumeration value="Members contacts and details"/>
          <xsd:enumeration value="Member consents"/>
          <xsd:enumeration value="Specialist Committee membership"/>
          <xsd:enumeration value="Statutory"/>
          <xsd:enumeration value="Governance"/>
          <xsd:enumeration value="Heritage Act Regulations and Fees"/>
          <xsd:enumeration value="FOI - Request"/>
          <xsd:enumeration value="FOI - Decision"/>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Admin_x0020_Function" ma:index="37" nillable="true" ma:displayName="Admin Function" ma:format="Dropdown" ma:internalName="Admin_x0020_Function">
      <xsd:simpleType>
        <xsd:restriction base="dms:Choice">
          <xsd:enumeration value="Blue Plaques"/>
          <xsd:enumeration value="Purchases ord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42</Value>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e643ff3a-173d-4ecc-afef-184e8c1b72a3</TermId>
        </TermInfo>
      </Terms>
    </fc01d91d9ac346658516d76592d7006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DOCID357-864587592-770</_dlc_DocId>
    <_dlc_DocIdUrl xmlns="a5f32de4-e402-4188-b034-e71ca7d22e54">
      <Url>https://delwpvicgovau.sharepoint.com/sites/ecm_357/_layouts/15/DocIdRedir.aspx?ID=DOCID357-864587592-770</Url>
      <Description>DOCID357-864587592-770</Description>
    </_dlc_DocIdUrl>
    <Claimant_x0020_Name xmlns="a5f32de4-e402-4188-b034-e71ca7d22e54" xsi:nil="true"/>
    <Payment_x0020_period xmlns="7ef0c57d-ba0d-4eb1-8ef4-d46a3b6b7277">NA</Payment_x0020_period>
    <Governance_x0020_Function xmlns="7ef0c57d-ba0d-4eb1-8ef4-d46a3b6b7277">Policies, protocols, forms and guidelines</Governance_x0020_Function>
    <Admin_x0020_Function xmlns="c42f9c80-6326-4d3e-8624-f1221488f056" xsi:nil="true"/>
    <Resource_x0020_type xmlns="7ef0c57d-ba0d-4eb1-8ef4-d46a3b6b7277">Heritage Act Regulations and Fees</Resource_x0020_type>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5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0B46A4-7408-4497-AF5E-8E96E12D97D4}">
  <ds:schemaRefs>
    <ds:schemaRef ds:uri="http://schemas.microsoft.com/sharepoint/v3/contenttype/forms"/>
  </ds:schemaRefs>
</ds:datastoreItem>
</file>

<file path=customXml/itemProps2.xml><?xml version="1.0" encoding="utf-8"?>
<ds:datastoreItem xmlns:ds="http://schemas.openxmlformats.org/officeDocument/2006/customXml" ds:itemID="{AD2E4A6F-EC00-424D-BA14-698F765D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ef0c57d-ba0d-4eb1-8ef4-d46a3b6b7277"/>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23176-7755-4FAF-B7FB-26CF372845ED}">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7ef0c57d-ba0d-4eb1-8ef4-d46a3b6b7277"/>
    <ds:schemaRef ds:uri="c42f9c80-6326-4d3e-8624-f1221488f056"/>
  </ds:schemaRefs>
</ds:datastoreItem>
</file>

<file path=customXml/itemProps4.xml><?xml version="1.0" encoding="utf-8"?>
<ds:datastoreItem xmlns:ds="http://schemas.openxmlformats.org/officeDocument/2006/customXml" ds:itemID="{CDE0738C-CD5B-40F6-B7BF-BCED1827314A}">
  <ds:schemaRefs>
    <ds:schemaRef ds:uri="http://schemas.microsoft.com/office/2006/metadata/customXsn"/>
  </ds:schemaRefs>
</ds:datastoreItem>
</file>

<file path=customXml/itemProps5.xml><?xml version="1.0" encoding="utf-8"?>
<ds:datastoreItem xmlns:ds="http://schemas.openxmlformats.org/officeDocument/2006/customXml" ds:itemID="{C1C39BF0-28B7-44B4-8059-B2E45CDDD12B}">
  <ds:schemaRefs>
    <ds:schemaRef ds:uri="Microsoft.SharePoint.Taxonomy.ContentTypeSync"/>
  </ds:schemaRefs>
</ds:datastoreItem>
</file>

<file path=customXml/itemProps6.xml><?xml version="1.0" encoding="utf-8"?>
<ds:datastoreItem xmlns:ds="http://schemas.openxmlformats.org/officeDocument/2006/customXml" ds:itemID="{B1200B9B-DF30-4A4E-BA62-BB00199BE2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 Guthrie (DELWP)</dc:creator>
  <cp:keywords/>
  <dc:description/>
  <cp:lastModifiedBy>Bianca E Sharpe (DELWP)</cp:lastModifiedBy>
  <cp:revision>5</cp:revision>
  <cp:lastPrinted>2019-06-25T23:12:00Z</cp:lastPrinted>
  <dcterms:created xsi:type="dcterms:W3CDTF">2021-11-08T05:03:00Z</dcterms:created>
  <dcterms:modified xsi:type="dcterms:W3CDTF">2021-11-09T02:13:00Z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0x0101002517F445A0F35E449C98AAD631F2B03853000A9D5644364EA44B9883556D02C84FA9</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_dlc_DocIdItemGuid">
    <vt:lpwstr>52c3b261-366e-49a4-8fab-1a0e11d2cccc</vt:lpwstr>
  </property>
  <property fmtid="{D5CDD505-2E9C-101B-9397-08002B2CF9AE}" pid="7" name="Division">
    <vt:lpwstr>5;#Planning Panels Victoria|f7f930e6-b45f-4a5f-abe4-9daa2ee2cc0f</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Year">
    <vt:lpwstr>42;#2020|e643ff3a-173d-4ecc-afef-184e8c1b72a3</vt:lpwstr>
  </property>
  <property fmtid="{D5CDD505-2E9C-101B-9397-08002B2CF9AE}" pid="13" name="ClassificationContentMarkingFooterShapeIds">
    <vt:lpwstr>1,2,3</vt:lpwstr>
  </property>
  <property fmtid="{D5CDD505-2E9C-101B-9397-08002B2CF9AE}" pid="14" name="ClassificationContentMarkingFooterFontProps">
    <vt:lpwstr>#000000,12,Calibri</vt:lpwstr>
  </property>
  <property fmtid="{D5CDD505-2E9C-101B-9397-08002B2CF9AE}" pid="15" name="ClassificationContentMarkingFooterText">
    <vt:lpwstr>OFFICIAL</vt:lpwstr>
  </property>
  <property fmtid="{D5CDD505-2E9C-101B-9397-08002B2CF9AE}" pid="16" name="MSIP_Label_4257e2ab-f512-40e2-9c9a-c64247360765_Enabled">
    <vt:lpwstr>true</vt:lpwstr>
  </property>
  <property fmtid="{D5CDD505-2E9C-101B-9397-08002B2CF9AE}" pid="17" name="MSIP_Label_4257e2ab-f512-40e2-9c9a-c64247360765_SetDate">
    <vt:lpwstr>2021-06-24T03:30:10Z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9c8dfda4-0536-4935-b474-f63473c4b79f</vt:lpwstr>
  </property>
  <property fmtid="{D5CDD505-2E9C-101B-9397-08002B2CF9AE}" pid="22" name="MSIP_Label_4257e2ab-f512-40e2-9c9a-c64247360765_ContentBits">
    <vt:lpwstr>2</vt:lpwstr>
  </property>
  <property fmtid="{D5CDD505-2E9C-101B-9397-08002B2CF9AE}" pid="23" name="Location_x0020_Type">
    <vt:lpwstr/>
  </property>
  <property fmtid="{D5CDD505-2E9C-101B-9397-08002B2CF9AE}" pid="24" name="o2e611f6ba3e4c8f9a895dfb7980639e">
    <vt:lpwstr/>
  </property>
  <property fmtid="{D5CDD505-2E9C-101B-9397-08002B2CF9AE}" pid="25" name="Location Type">
    <vt:lpwstr/>
  </property>
</Properties>
</file>