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2FC3" w14:textId="77777777" w:rsidR="006C561A" w:rsidRDefault="006C561A"/>
    <w:p w14:paraId="55024B97" w14:textId="3E2C06AE" w:rsidR="00047FBE" w:rsidRPr="00753ABF" w:rsidRDefault="00047FBE" w:rsidP="00047FBE">
      <w:pPr>
        <w:pStyle w:val="H1BEFORE"/>
        <w:rPr>
          <w:sz w:val="48"/>
          <w:szCs w:val="44"/>
        </w:rPr>
      </w:pPr>
      <w:r w:rsidRPr="00753ABF">
        <w:rPr>
          <w:sz w:val="48"/>
          <w:szCs w:val="44"/>
        </w:rPr>
        <w:t xml:space="preserve">Heritage Council </w:t>
      </w:r>
      <w:r w:rsidR="00B4731C">
        <w:rPr>
          <w:color w:val="323E48"/>
          <w:sz w:val="48"/>
          <w:szCs w:val="44"/>
        </w:rPr>
        <w:t>of Victoria</w:t>
      </w:r>
      <w:r w:rsidR="00EB0C88">
        <w:rPr>
          <w:color w:val="323E48"/>
          <w:sz w:val="48"/>
          <w:szCs w:val="44"/>
        </w:rPr>
        <w:t xml:space="preserve"> </w:t>
      </w:r>
    </w:p>
    <w:p w14:paraId="541AD0EC" w14:textId="12081A06" w:rsidR="00047FBE" w:rsidRPr="00397B56" w:rsidRDefault="00B4731C" w:rsidP="00973BB5">
      <w:pPr>
        <w:pStyle w:val="H2AFTER"/>
      </w:pPr>
      <w:bookmarkStart w:id="0" w:name="_Hlk45881079"/>
      <w:r>
        <w:t>POLICY</w:t>
      </w:r>
      <w:bookmarkEnd w:id="0"/>
      <w:r>
        <w:t xml:space="preserve">: </w:t>
      </w:r>
      <w:r w:rsidR="008B198C">
        <w:t xml:space="preserve">OBJECTS INTEGRAL TO A REGISTERED PLACE </w:t>
      </w:r>
    </w:p>
    <w:p w14:paraId="43740591" w14:textId="5B6C50BD" w:rsidR="00D80AD2" w:rsidRDefault="008B198C" w:rsidP="008B198C">
      <w:pPr>
        <w:pStyle w:val="H3AFTER"/>
      </w:pPr>
      <w:r w:rsidRPr="008B198C">
        <w:rPr>
          <w:rStyle w:val="B1Bold"/>
          <w:sz w:val="32"/>
          <w:szCs w:val="32"/>
        </w:rPr>
        <w:t>Adopted</w:t>
      </w:r>
      <w:r w:rsidR="00C010DA" w:rsidRPr="008B198C">
        <w:t>:</w:t>
      </w:r>
      <w:r w:rsidR="00C010DA">
        <w:t xml:space="preserve"> </w:t>
      </w:r>
      <w:r w:rsidR="00C5393A">
        <w:t>1 October 2020</w:t>
      </w:r>
    </w:p>
    <w:p w14:paraId="04958D3D" w14:textId="77777777" w:rsidR="00D80AD2" w:rsidRDefault="00D80AD2" w:rsidP="00D80AD2">
      <w:pPr>
        <w:pStyle w:val="B1"/>
      </w:pPr>
      <w:r>
        <w:rPr>
          <w:noProof/>
          <w:lang w:eastAsia="en-AU"/>
        </w:rPr>
        <mc:AlternateContent>
          <mc:Choice Requires="wpg">
            <w:drawing>
              <wp:anchor distT="0" distB="0" distL="114300" distR="114300" simplePos="0" relativeHeight="251658241" behindDoc="1" locked="0" layoutInCell="0" allowOverlap="1" wp14:anchorId="7858102F" wp14:editId="6571CFA9">
                <wp:simplePos x="0" y="0"/>
                <wp:positionH relativeFrom="page">
                  <wp:posOffset>539750</wp:posOffset>
                </wp:positionH>
                <wp:positionV relativeFrom="paragraph">
                  <wp:posOffset>0</wp:posOffset>
                </wp:positionV>
                <wp:extent cx="6353175" cy="82296"/>
                <wp:effectExtent l="0" t="0" r="2857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2296"/>
                          <a:chOff x="13626" y="3745"/>
                          <a:chExt cx="8464" cy="24"/>
                        </a:xfrm>
                      </wpg:grpSpPr>
                      <wps:wsp>
                        <wps:cNvPr id="6"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group w14:anchorId="61508945" id="Group 5" o:spid="_x0000_s1026" style="position:absolute;margin-left:42.5pt;margin-top:0;width:500.25pt;height:6.5pt;z-index:-25165312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" path="m,l2456,e" filled="f" strokecolor="#aa182c" strokeweight="1.53528mm">
                  <v:path arrowok="t" o:connecttype="custom" o:connectlocs="0,0;2456,0" o:connectangles="0,0"/>
                </v:shape>
                <w10:wrap anchorx="page"/>
              </v:group>
            </w:pict>
          </mc:Fallback>
        </mc:AlternateContent>
      </w:r>
    </w:p>
    <w:p w14:paraId="7A227A77" w14:textId="60888183" w:rsidR="00A44B7C" w:rsidRPr="00A44B7C" w:rsidRDefault="00A44B7C" w:rsidP="00A44B7C">
      <w:pPr>
        <w:pStyle w:val="B1"/>
        <w:rPr>
          <w:rStyle w:val="B1Bold"/>
          <w:b w:val="0"/>
          <w:bCs/>
          <w:sz w:val="19"/>
        </w:rPr>
      </w:pPr>
      <w:r w:rsidRPr="00A44B7C">
        <w:rPr>
          <w:rStyle w:val="B1Bold"/>
          <w:b w:val="0"/>
          <w:bCs/>
          <w:sz w:val="19"/>
        </w:rPr>
        <w:t xml:space="preserve">The </w:t>
      </w:r>
      <w:r w:rsidRPr="005970AA">
        <w:rPr>
          <w:rStyle w:val="B1Bold"/>
          <w:b w:val="0"/>
          <w:i/>
          <w:sz w:val="19"/>
        </w:rPr>
        <w:t xml:space="preserve">Heritage Act 2017 </w:t>
      </w:r>
      <w:r w:rsidRPr="00A44B7C">
        <w:rPr>
          <w:rStyle w:val="B1Bold"/>
          <w:b w:val="0"/>
          <w:bCs/>
          <w:sz w:val="19"/>
        </w:rPr>
        <w:t>(Heritage Act) provides for the protection and </w:t>
      </w:r>
      <w:hyperlink r:id="rId13" w:anchor="conservation" w:history="1">
        <w:r w:rsidRPr="00A44B7C">
          <w:rPr>
            <w:rStyle w:val="B1Bold"/>
            <w:b w:val="0"/>
            <w:bCs/>
            <w:sz w:val="19"/>
          </w:rPr>
          <w:t>conservation</w:t>
        </w:r>
      </w:hyperlink>
      <w:r w:rsidRPr="00A44B7C">
        <w:rPr>
          <w:rStyle w:val="B1Bold"/>
          <w:b w:val="0"/>
          <w:bCs/>
          <w:sz w:val="19"/>
        </w:rPr>
        <w:t> of Victoria’s cultural heritage. The Victorian Heritage Register (Heritage Register) is a list of places and objects that have been identified as warranting protection under the Heritage Act. In addition to allowing for the identification of significant places and objects, the Heritage Act also allows for the registration of objects that are ‘integral’ to a</w:t>
      </w:r>
      <w:r w:rsidR="00111651">
        <w:rPr>
          <w:rStyle w:val="B1Bold"/>
          <w:b w:val="0"/>
          <w:bCs/>
          <w:sz w:val="19"/>
        </w:rPr>
        <w:t xml:space="preserve"> registered</w:t>
      </w:r>
      <w:r w:rsidRPr="00A44B7C">
        <w:rPr>
          <w:rStyle w:val="B1Bold"/>
          <w:b w:val="0"/>
          <w:bCs/>
          <w:sz w:val="19"/>
        </w:rPr>
        <w:t xml:space="preserve"> place, even though they </w:t>
      </w:r>
      <w:r w:rsidR="001B4108">
        <w:rPr>
          <w:rStyle w:val="B1Bold"/>
          <w:b w:val="0"/>
          <w:bCs/>
          <w:sz w:val="19"/>
        </w:rPr>
        <w:t>may</w:t>
      </w:r>
      <w:r w:rsidRPr="00A44B7C">
        <w:rPr>
          <w:rStyle w:val="B1Bold"/>
          <w:b w:val="0"/>
          <w:bCs/>
          <w:sz w:val="19"/>
        </w:rPr>
        <w:t xml:space="preserve"> not meet the threshold for inclusion </w:t>
      </w:r>
      <w:r w:rsidR="00F046D2">
        <w:rPr>
          <w:rStyle w:val="B1Bold"/>
          <w:b w:val="0"/>
          <w:bCs/>
          <w:sz w:val="19"/>
        </w:rPr>
        <w:t>i</w:t>
      </w:r>
      <w:r w:rsidRPr="00A44B7C">
        <w:rPr>
          <w:rStyle w:val="B1Bold"/>
          <w:b w:val="0"/>
          <w:bCs/>
          <w:sz w:val="19"/>
        </w:rPr>
        <w:t>n the Heritage Register in their own right. These are called ‘objects integral’.</w:t>
      </w:r>
    </w:p>
    <w:p w14:paraId="68C7B6FF" w14:textId="2C46BB1F" w:rsidR="00A44B7C" w:rsidRPr="00A44B7C" w:rsidRDefault="00A44B7C" w:rsidP="00A44B7C">
      <w:pPr>
        <w:pStyle w:val="B1"/>
        <w:spacing w:before="120"/>
        <w:rPr>
          <w:rStyle w:val="B1Bold"/>
          <w:b w:val="0"/>
          <w:bCs/>
          <w:sz w:val="19"/>
        </w:rPr>
      </w:pPr>
      <w:r w:rsidRPr="00A44B7C">
        <w:rPr>
          <w:rStyle w:val="B1Bold"/>
          <w:b w:val="0"/>
          <w:bCs/>
          <w:sz w:val="19"/>
        </w:rPr>
        <w:t xml:space="preserve">This policy is focused on objects integral and is broken into two parts. The first addresses the issue of what, for the purposes of the Heritage Act, is an </w:t>
      </w:r>
      <w:proofErr w:type="gramStart"/>
      <w:r w:rsidRPr="00A44B7C">
        <w:rPr>
          <w:rStyle w:val="B1Bold"/>
          <w:b w:val="0"/>
          <w:bCs/>
          <w:sz w:val="19"/>
        </w:rPr>
        <w:t>object?;</w:t>
      </w:r>
      <w:proofErr w:type="gramEnd"/>
      <w:r w:rsidRPr="00A44B7C">
        <w:rPr>
          <w:rStyle w:val="B1Bold"/>
          <w:b w:val="0"/>
          <w:bCs/>
          <w:sz w:val="19"/>
        </w:rPr>
        <w:t xml:space="preserve"> the second addresses the question of when does an object become an ‘object integral’? </w:t>
      </w:r>
    </w:p>
    <w:p w14:paraId="50C444E1" w14:textId="1DAB791A" w:rsidR="00A44B7C" w:rsidRPr="00A44B7C" w:rsidRDefault="00A44B7C" w:rsidP="00A44B7C">
      <w:pPr>
        <w:pStyle w:val="B1"/>
        <w:spacing w:after="240"/>
        <w:rPr>
          <w:rStyle w:val="B1Bold"/>
          <w:b w:val="0"/>
          <w:bCs/>
          <w:sz w:val="19"/>
        </w:rPr>
      </w:pPr>
      <w:r w:rsidRPr="00A44B7C">
        <w:rPr>
          <w:rStyle w:val="B1Bold"/>
          <w:b w:val="0"/>
          <w:bCs/>
          <w:sz w:val="19"/>
        </w:rPr>
        <w:t xml:space="preserve">In preparing this policy, the Heritage Council of Victoria (Heritage Council) acknowledges that there is a significant body of common law that deals with the issue of when an object becomes a fixture and therefore forms part of a place. This policy, in light of the Heritage Act’s objective at </w:t>
      </w:r>
      <w:r w:rsidR="00D524F2">
        <w:rPr>
          <w:rStyle w:val="B1Bold"/>
          <w:b w:val="0"/>
          <w:bCs/>
          <w:sz w:val="19"/>
        </w:rPr>
        <w:t>S</w:t>
      </w:r>
      <w:r w:rsidR="00357458">
        <w:rPr>
          <w:rStyle w:val="B1Bold"/>
          <w:b w:val="0"/>
          <w:bCs/>
          <w:sz w:val="19"/>
        </w:rPr>
        <w:t xml:space="preserve">ection </w:t>
      </w:r>
      <w:r w:rsidRPr="00A44B7C">
        <w:rPr>
          <w:rStyle w:val="B1Bold"/>
          <w:b w:val="0"/>
          <w:bCs/>
          <w:sz w:val="19"/>
        </w:rPr>
        <w:t xml:space="preserve">1(a) to </w:t>
      </w:r>
      <w:r w:rsidR="00FA4F4B">
        <w:rPr>
          <w:rStyle w:val="B1Bold"/>
          <w:b w:val="0"/>
          <w:bCs/>
          <w:sz w:val="19"/>
        </w:rPr>
        <w:t>‘</w:t>
      </w:r>
      <w:r w:rsidRPr="00A44B7C">
        <w:rPr>
          <w:rStyle w:val="B1Bold"/>
          <w:b w:val="0"/>
          <w:bCs/>
          <w:sz w:val="19"/>
        </w:rPr>
        <w:t>provide for the protection and conservation of the cultural heritage of the State</w:t>
      </w:r>
      <w:r w:rsidR="00FA4F4B">
        <w:rPr>
          <w:rStyle w:val="B1Bold"/>
          <w:b w:val="0"/>
          <w:bCs/>
          <w:sz w:val="19"/>
        </w:rPr>
        <w:t>’</w:t>
      </w:r>
      <w:r w:rsidRPr="00A44B7C">
        <w:rPr>
          <w:rStyle w:val="B1Bold"/>
          <w:b w:val="0"/>
          <w:bCs/>
          <w:sz w:val="19"/>
        </w:rPr>
        <w:t xml:space="preserve">, outlines a methodology that is intended to ensure that no items of significance are excluded from the processes set out in the Heritage Act.   </w:t>
      </w:r>
    </w:p>
    <w:p w14:paraId="53507EDE" w14:textId="77777777" w:rsidR="00D80AD2" w:rsidRDefault="00D80AD2" w:rsidP="00D80AD2">
      <w:pPr>
        <w:pStyle w:val="B1"/>
      </w:pPr>
      <w:r>
        <w:rPr>
          <w:noProof/>
          <w:lang w:eastAsia="en-AU"/>
        </w:rPr>
        <mc:AlternateContent>
          <mc:Choice Requires="wpg">
            <w:drawing>
              <wp:anchor distT="0" distB="0" distL="114300" distR="114300" simplePos="0" relativeHeight="251658240" behindDoc="1" locked="0" layoutInCell="0" allowOverlap="1" wp14:anchorId="521FF7BE" wp14:editId="2F701FD9">
                <wp:simplePos x="0" y="0"/>
                <wp:positionH relativeFrom="page">
                  <wp:posOffset>539750</wp:posOffset>
                </wp:positionH>
                <wp:positionV relativeFrom="paragraph">
                  <wp:posOffset>0</wp:posOffset>
                </wp:positionV>
                <wp:extent cx="6353175" cy="82296"/>
                <wp:effectExtent l="0" t="0" r="285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2296"/>
                          <a:chOff x="13626" y="3745"/>
                          <a:chExt cx="8464" cy="24"/>
                        </a:xfrm>
                      </wpg:grpSpPr>
                      <wps:wsp>
                        <wps:cNvPr id="3"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group w14:anchorId="0B620513" id="Group 2" o:spid="_x0000_s1026" style="position:absolute;margin-left:42.5pt;margin-top:0;width:500.25pt;height:6.5pt;z-index:-251655168;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" path="m,l2456,e" filled="f" strokecolor="#aa182c" strokeweight="1.53528mm">
                  <v:path arrowok="t" o:connecttype="custom" o:connectlocs="0,0;2456,0" o:connectangles="0,0"/>
                </v:shape>
                <w10:wrap anchorx="page"/>
              </v:group>
            </w:pict>
          </mc:Fallback>
        </mc:AlternateContent>
      </w:r>
    </w:p>
    <w:p w14:paraId="78CD5C5D" w14:textId="31449C8C" w:rsidR="008146FD" w:rsidRDefault="00DC2FA9" w:rsidP="009C0B00">
      <w:pPr>
        <w:pStyle w:val="B1"/>
        <w:numPr>
          <w:ilvl w:val="0"/>
          <w:numId w:val="9"/>
        </w:numPr>
      </w:pPr>
      <w:r w:rsidRPr="00DC2FA9">
        <w:rPr>
          <w:b/>
          <w:bCs/>
          <w:color w:val="AA1E2E"/>
        </w:rPr>
        <w:t>PURPOSE</w:t>
      </w:r>
    </w:p>
    <w:p w14:paraId="75F4E758" w14:textId="70504A36" w:rsidR="00A8135E" w:rsidRDefault="00DC2FA9" w:rsidP="00A8135E">
      <w:pPr>
        <w:pStyle w:val="B1"/>
        <w:numPr>
          <w:ilvl w:val="1"/>
          <w:numId w:val="9"/>
        </w:numPr>
      </w:pPr>
      <w:r w:rsidRPr="008146FD">
        <w:t>This policy is intended to provide guidance as to the matters that should be considered by the Heritage Council in determining whether an object is integral to a place included in the Heritage Register</w:t>
      </w:r>
      <w:r w:rsidR="003F4C34">
        <w:t xml:space="preserve">. </w:t>
      </w:r>
    </w:p>
    <w:p w14:paraId="152028D9" w14:textId="77777777" w:rsidR="00B44CB3" w:rsidRPr="00B44CB3" w:rsidRDefault="00B44CB3" w:rsidP="00B44CB3">
      <w:pPr>
        <w:pStyle w:val="B1"/>
        <w:numPr>
          <w:ilvl w:val="1"/>
          <w:numId w:val="9"/>
        </w:numPr>
      </w:pPr>
      <w:r w:rsidRPr="00B44CB3">
        <w:t>This policy is intended to assist:</w:t>
      </w:r>
    </w:p>
    <w:p w14:paraId="0DCBCA94" w14:textId="30855F44" w:rsidR="00B44CB3" w:rsidRPr="00B44CB3" w:rsidRDefault="00A72065" w:rsidP="00A60135">
      <w:pPr>
        <w:pStyle w:val="BP1"/>
      </w:pPr>
      <w:r>
        <w:t>i</w:t>
      </w:r>
      <w:r w:rsidR="00B44CB3" w:rsidRPr="00B44CB3">
        <w:t>ndividuals or organisations nominating a place or object to the Heritage Register</w:t>
      </w:r>
    </w:p>
    <w:p w14:paraId="5E2736A7" w14:textId="07A486BA" w:rsidR="00B44CB3" w:rsidRPr="00B44CB3" w:rsidRDefault="00A72065" w:rsidP="00A60135">
      <w:pPr>
        <w:pStyle w:val="BP1"/>
      </w:pPr>
      <w:r>
        <w:t>o</w:t>
      </w:r>
      <w:r w:rsidR="00B44CB3" w:rsidRPr="00B44CB3">
        <w:t>wners or managers of a place or object that has been nominated to the Heritage Register</w:t>
      </w:r>
    </w:p>
    <w:p w14:paraId="216888ED" w14:textId="7134A9F5" w:rsidR="00B44CB3" w:rsidRPr="00B44CB3" w:rsidRDefault="00B44CB3" w:rsidP="00A60135">
      <w:pPr>
        <w:pStyle w:val="BP1"/>
      </w:pPr>
      <w:r w:rsidRPr="00B44CB3">
        <w:t>Heritage Victoria in making a recommendation about a place or object that has been nominated to the Heritage Register</w:t>
      </w:r>
      <w:r w:rsidR="00DE51A3">
        <w:t xml:space="preserve"> </w:t>
      </w:r>
    </w:p>
    <w:p w14:paraId="58FA01E2" w14:textId="63846603" w:rsidR="00B03E9A" w:rsidRDefault="00A72065" w:rsidP="00A60135">
      <w:pPr>
        <w:pStyle w:val="BP1"/>
      </w:pPr>
      <w:r>
        <w:t>t</w:t>
      </w:r>
      <w:r w:rsidR="00B44CB3" w:rsidRPr="00B44CB3">
        <w:t xml:space="preserve">he Heritage Council in determining whether a place or object should be included </w:t>
      </w:r>
      <w:r w:rsidR="00833242">
        <w:t xml:space="preserve">or amended </w:t>
      </w:r>
      <w:r w:rsidR="00B44CB3" w:rsidRPr="00B44CB3">
        <w:t>in the Heritage Register.</w:t>
      </w:r>
    </w:p>
    <w:p w14:paraId="0F90295D" w14:textId="155B5607" w:rsidR="00B03E9A" w:rsidRDefault="00B03E9A" w:rsidP="00EC2C8D">
      <w:pPr>
        <w:pStyle w:val="B1"/>
        <w:numPr>
          <w:ilvl w:val="0"/>
          <w:numId w:val="9"/>
        </w:numPr>
        <w:spacing w:before="200"/>
        <w:ind w:left="357" w:hanging="357"/>
        <w:rPr>
          <w:b/>
          <w:bCs/>
          <w:color w:val="AA1E2E"/>
        </w:rPr>
      </w:pPr>
      <w:r w:rsidRPr="00B03E9A">
        <w:rPr>
          <w:b/>
          <w:bCs/>
          <w:color w:val="AA1E2E"/>
        </w:rPr>
        <w:t>RELEVANT LEGISLATION</w:t>
      </w:r>
    </w:p>
    <w:p w14:paraId="1FA8EBF8" w14:textId="1E12436E" w:rsidR="003A3442" w:rsidRPr="003A3442" w:rsidRDefault="003A3442" w:rsidP="003A3442">
      <w:pPr>
        <w:pStyle w:val="B1"/>
        <w:numPr>
          <w:ilvl w:val="1"/>
          <w:numId w:val="9"/>
        </w:numPr>
      </w:pPr>
      <w:r w:rsidRPr="003A3442">
        <w:t>Heritage Victoria has primary responsibility for administering the Heritage Act which governs the identification and management of places and objects of State-level cultural heritage significance.</w:t>
      </w:r>
    </w:p>
    <w:p w14:paraId="4CAE8F63" w14:textId="178EBF94" w:rsidR="004C0F90" w:rsidRPr="004C0F90" w:rsidRDefault="004C0F90" w:rsidP="004C0F90">
      <w:pPr>
        <w:pStyle w:val="B1"/>
        <w:numPr>
          <w:ilvl w:val="1"/>
          <w:numId w:val="9"/>
        </w:numPr>
      </w:pPr>
      <w:r w:rsidRPr="004C0F90">
        <w:t xml:space="preserve">Section 27(1) of the Heritage Act provides that </w:t>
      </w:r>
      <w:r w:rsidR="00A7562F">
        <w:t>‘</w:t>
      </w:r>
      <w:r w:rsidRPr="004C0F90">
        <w:t>a person or body may nominate a </w:t>
      </w:r>
      <w:hyperlink r:id="rId14" w:anchor="place" w:history="1">
        <w:r w:rsidRPr="004C0F90">
          <w:t>place</w:t>
        </w:r>
      </w:hyperlink>
      <w:r w:rsidRPr="004C0F90">
        <w:t> or </w:t>
      </w:r>
      <w:hyperlink r:id="rId15" w:anchor="object" w:history="1">
        <w:r w:rsidRPr="004C0F90">
          <w:t>object</w:t>
        </w:r>
      </w:hyperlink>
      <w:r w:rsidRPr="004C0F90">
        <w:t> for inclusion in the </w:t>
      </w:r>
      <w:hyperlink r:id="rId16" w:anchor="heritage_register" w:history="1">
        <w:r w:rsidRPr="004C0F90">
          <w:t>Heritage Register</w:t>
        </w:r>
      </w:hyperlink>
      <w:r w:rsidR="00A7562F">
        <w:t>’</w:t>
      </w:r>
      <w:r w:rsidRPr="004C0F90">
        <w:t>. Section 27(3) allows the Executive Director to nominate a place or object for inclusion in the Heritage Register.</w:t>
      </w:r>
    </w:p>
    <w:p w14:paraId="68739D38" w14:textId="1E86B838" w:rsidR="00F32748" w:rsidRPr="00F32748" w:rsidRDefault="00F32748" w:rsidP="00A905E3">
      <w:pPr>
        <w:pStyle w:val="B1"/>
        <w:numPr>
          <w:ilvl w:val="1"/>
          <w:numId w:val="9"/>
        </w:numPr>
      </w:pPr>
      <w:r w:rsidRPr="00F32748">
        <w:t xml:space="preserve">Section 31(1) of the Heritage Act provides that </w:t>
      </w:r>
      <w:r w:rsidR="00A7562F">
        <w:t>‘</w:t>
      </w:r>
      <w:r w:rsidRPr="00F32748">
        <w:t xml:space="preserve">a person or body, or the Executive Director, may nominate for inclusion in the Heritage Register an object that is integral to understanding the cultural heritage significance of </w:t>
      </w:r>
      <w:r w:rsidR="00592E40">
        <w:t>–</w:t>
      </w:r>
      <w:r w:rsidRPr="00F32748">
        <w:t xml:space="preserve"> (a) a registered place or (b) a place nominated for inclusion in the Heritage Register</w:t>
      </w:r>
      <w:r w:rsidR="00EE28F8">
        <w:t>’</w:t>
      </w:r>
      <w:r w:rsidRPr="00F32748">
        <w:t>.</w:t>
      </w:r>
    </w:p>
    <w:p w14:paraId="5717139B" w14:textId="637A3A59" w:rsidR="00B03E9A" w:rsidRDefault="00A905E3" w:rsidP="00EC2C8D">
      <w:pPr>
        <w:pStyle w:val="B1"/>
        <w:numPr>
          <w:ilvl w:val="1"/>
          <w:numId w:val="9"/>
        </w:numPr>
      </w:pPr>
      <w:r w:rsidRPr="00A905E3">
        <w:t xml:space="preserve">Section 31(2) of the Heritage Act provides that a nomination under </w:t>
      </w:r>
      <w:r w:rsidR="00D524F2">
        <w:t xml:space="preserve">Section </w:t>
      </w:r>
      <w:r w:rsidRPr="00A905E3">
        <w:t xml:space="preserve">31(1) may be made </w:t>
      </w:r>
      <w:r w:rsidR="00DA0CAF">
        <w:t>‘</w:t>
      </w:r>
      <w:r w:rsidRPr="00A905E3">
        <w:t>a) in respect of an object whether or not the object is located at the place or under the place; or b) in respect of all archaeological artefacts associated with the place whether or not the number, nature or exact location of the archaeological artefacts is known; or c) without the extraction of the object from the place</w:t>
      </w:r>
      <w:r w:rsidR="00DA0CAF">
        <w:t>’.</w:t>
      </w:r>
      <w:r w:rsidR="00237A9E">
        <w:br/>
      </w:r>
    </w:p>
    <w:p w14:paraId="1A362A54" w14:textId="22370E40" w:rsidR="00F204AE" w:rsidRPr="000D053E" w:rsidRDefault="00851F7D" w:rsidP="00F204AE">
      <w:pPr>
        <w:pStyle w:val="B1"/>
        <w:numPr>
          <w:ilvl w:val="0"/>
          <w:numId w:val="9"/>
        </w:numPr>
        <w:rPr>
          <w:b/>
          <w:bCs/>
          <w:color w:val="AA1E2E"/>
        </w:rPr>
      </w:pPr>
      <w:r w:rsidRPr="000D053E">
        <w:rPr>
          <w:b/>
          <w:bCs/>
          <w:color w:val="AA1E2E"/>
        </w:rPr>
        <w:lastRenderedPageBreak/>
        <w:t>WHAT IS AN OBJECT?</w:t>
      </w:r>
    </w:p>
    <w:p w14:paraId="4C7AF57B" w14:textId="4270AE48" w:rsidR="00122C76" w:rsidRDefault="00122C76" w:rsidP="00122C76">
      <w:pPr>
        <w:pStyle w:val="B1"/>
        <w:numPr>
          <w:ilvl w:val="1"/>
          <w:numId w:val="9"/>
        </w:numPr>
      </w:pPr>
      <w:r>
        <w:t>Section 3 of the Heritage Act defines an object as including:</w:t>
      </w:r>
    </w:p>
    <w:p w14:paraId="24285896" w14:textId="6DB3E37F" w:rsidR="00122C76" w:rsidRPr="00A60135" w:rsidRDefault="00BE2A07" w:rsidP="00A60135">
      <w:pPr>
        <w:pStyle w:val="BP1"/>
      </w:pPr>
      <w:r w:rsidRPr="00A60135">
        <w:t>a</w:t>
      </w:r>
      <w:r w:rsidR="00122C76" w:rsidRPr="00A60135">
        <w:t>ny fixed or non-fixed object</w:t>
      </w:r>
    </w:p>
    <w:p w14:paraId="3ADB315C" w14:textId="466453CF" w:rsidR="00122C76" w:rsidRDefault="00BE2A07" w:rsidP="00294875">
      <w:pPr>
        <w:pStyle w:val="BP1"/>
      </w:pPr>
      <w:r>
        <w:t>a</w:t>
      </w:r>
      <w:r w:rsidR="00122C76">
        <w:t xml:space="preserve"> collection of objects</w:t>
      </w:r>
    </w:p>
    <w:p w14:paraId="0601591D" w14:textId="62F3C579" w:rsidR="00122C76" w:rsidRDefault="00BE2A07" w:rsidP="00A60135">
      <w:pPr>
        <w:pStyle w:val="BP1"/>
      </w:pPr>
      <w:r>
        <w:t>a</w:t>
      </w:r>
      <w:r w:rsidR="00122C76">
        <w:t xml:space="preserve"> shipwreck artefact</w:t>
      </w:r>
    </w:p>
    <w:p w14:paraId="7CC453F8" w14:textId="213CE05E" w:rsidR="00122C76" w:rsidRDefault="00BE2A07" w:rsidP="00A60135">
      <w:pPr>
        <w:pStyle w:val="BP1"/>
      </w:pPr>
      <w:r>
        <w:t>a</w:t>
      </w:r>
      <w:r w:rsidR="00122C76">
        <w:t>n archaeological artefact.</w:t>
      </w:r>
    </w:p>
    <w:p w14:paraId="3BDDF019" w14:textId="77777777" w:rsidR="00656EFE" w:rsidRPr="00656EFE" w:rsidRDefault="00656EFE" w:rsidP="00656EFE">
      <w:pPr>
        <w:pStyle w:val="B1"/>
        <w:numPr>
          <w:ilvl w:val="1"/>
          <w:numId w:val="9"/>
        </w:numPr>
      </w:pPr>
      <w:r w:rsidRPr="00656EFE">
        <w:t xml:space="preserve">The Heritage Act does not, however, provide guidance on the characteristics of an object or define a ‘fixed’ or ‘non-fixed’ object. </w:t>
      </w:r>
    </w:p>
    <w:p w14:paraId="2F11D539" w14:textId="7BAD831A" w:rsidR="008D28D0" w:rsidRDefault="008D28D0" w:rsidP="008D28D0">
      <w:pPr>
        <w:pStyle w:val="B1"/>
        <w:numPr>
          <w:ilvl w:val="1"/>
          <w:numId w:val="9"/>
        </w:numPr>
      </w:pPr>
      <w:r>
        <w:t>For the purposes of the Heritage Act, an item wi</w:t>
      </w:r>
      <w:bookmarkStart w:id="1" w:name="_GoBack"/>
      <w:bookmarkEnd w:id="1"/>
      <w:r>
        <w:t>ll be considered a</w:t>
      </w:r>
      <w:r w:rsidRPr="00960B6D">
        <w:rPr>
          <w:b/>
          <w:bCs/>
        </w:rPr>
        <w:t xml:space="preserve"> ‘fixed object’ </w:t>
      </w:r>
      <w:r>
        <w:t xml:space="preserve">if it is an item that: </w:t>
      </w:r>
    </w:p>
    <w:p w14:paraId="5A2DCAB7" w14:textId="0C6914DE" w:rsidR="008D28D0" w:rsidRDefault="00BE2A07" w:rsidP="00A60135">
      <w:pPr>
        <w:pStyle w:val="BP1"/>
      </w:pPr>
      <w:r>
        <w:t>f</w:t>
      </w:r>
      <w:r w:rsidR="008D28D0">
        <w:t xml:space="preserve">irst existed as a ‘whole’ moveable object </w:t>
      </w:r>
      <w:r w:rsidR="005D7146">
        <w:t>AND</w:t>
      </w:r>
    </w:p>
    <w:p w14:paraId="29C6B49C" w14:textId="72A26968" w:rsidR="008D28D0" w:rsidRDefault="00BE2A07" w:rsidP="00A60135">
      <w:pPr>
        <w:pStyle w:val="BP1"/>
      </w:pPr>
      <w:r>
        <w:t>i</w:t>
      </w:r>
      <w:r w:rsidR="008D28D0">
        <w:t xml:space="preserve">s not dependent on its location to be understood as a ‘whole’ </w:t>
      </w:r>
      <w:r w:rsidR="005D7146">
        <w:t>AND</w:t>
      </w:r>
    </w:p>
    <w:p w14:paraId="470B8E40" w14:textId="234865AF" w:rsidR="008D28D0" w:rsidRDefault="00BE2A07" w:rsidP="00A60135">
      <w:pPr>
        <w:pStyle w:val="BP1"/>
      </w:pPr>
      <w:r w:rsidRPr="00A177E6">
        <w:t>h</w:t>
      </w:r>
      <w:r w:rsidR="008D28D0" w:rsidRPr="00A177E6">
        <w:t xml:space="preserve">as been incorporated into a structure or part of a structure through fixing to </w:t>
      </w:r>
      <w:proofErr w:type="spellStart"/>
      <w:r w:rsidR="008D28D0" w:rsidRPr="00A177E6">
        <w:t>stabilise</w:t>
      </w:r>
      <w:proofErr w:type="spellEnd"/>
      <w:r w:rsidR="008D28D0" w:rsidRPr="00A177E6">
        <w:t>, prevent movement</w:t>
      </w:r>
      <w:r w:rsidR="00AA5CA3" w:rsidRPr="00A177E6">
        <w:t>,</w:t>
      </w:r>
      <w:r w:rsidR="008D28D0" w:rsidRPr="00A177E6">
        <w:t xml:space="preserve"> secure from theft</w:t>
      </w:r>
      <w:r w:rsidR="00AA5CA3" w:rsidRPr="00A177E6">
        <w:t>,</w:t>
      </w:r>
      <w:r w:rsidR="008D28D0" w:rsidRPr="00A177E6">
        <w:t xml:space="preserve"> or for</w:t>
      </w:r>
      <w:r w:rsidR="008D28D0">
        <w:t xml:space="preserve"> decorative purposes </w:t>
      </w:r>
      <w:r w:rsidR="005D7146">
        <w:t>AND</w:t>
      </w:r>
    </w:p>
    <w:p w14:paraId="215D1554" w14:textId="1D82BFBD" w:rsidR="008D28D0" w:rsidRDefault="00BE2A07" w:rsidP="00A60135">
      <w:pPr>
        <w:pStyle w:val="BP1"/>
      </w:pPr>
      <w:r>
        <w:t>t</w:t>
      </w:r>
      <w:r w:rsidR="008D28D0">
        <w:t>he removal of the item would require the dismantling of its fixing supports or mechanisms.</w:t>
      </w:r>
    </w:p>
    <w:p w14:paraId="23FD5267" w14:textId="77777777" w:rsidR="00761FB8" w:rsidRDefault="00761FB8" w:rsidP="00761FB8">
      <w:pPr>
        <w:pStyle w:val="B1"/>
        <w:numPr>
          <w:ilvl w:val="1"/>
          <w:numId w:val="9"/>
        </w:numPr>
      </w:pPr>
      <w:r>
        <w:t xml:space="preserve">For the purposes of the Heritage Act, an item will be considered a </w:t>
      </w:r>
      <w:r w:rsidRPr="00960B6D">
        <w:rPr>
          <w:b/>
          <w:bCs/>
        </w:rPr>
        <w:t>‘non-fixed’</w:t>
      </w:r>
      <w:r>
        <w:t xml:space="preserve"> object;’ if it is an item that:</w:t>
      </w:r>
    </w:p>
    <w:p w14:paraId="484EEC4B" w14:textId="2B71BCB2" w:rsidR="00761FB8" w:rsidRPr="00A60135" w:rsidRDefault="00BE2A07" w:rsidP="00A60135">
      <w:pPr>
        <w:pStyle w:val="BP1"/>
      </w:pPr>
      <w:r w:rsidRPr="00A60135">
        <w:t>e</w:t>
      </w:r>
      <w:r w:rsidR="00761FB8" w:rsidRPr="00A60135">
        <w:t xml:space="preserve">xists as a ‘whole’ moveable object </w:t>
      </w:r>
      <w:r w:rsidR="00A177E6">
        <w:t>AND</w:t>
      </w:r>
    </w:p>
    <w:p w14:paraId="16CBDFE7" w14:textId="4560D580" w:rsidR="00761FB8" w:rsidRPr="00A60135" w:rsidRDefault="00BE2A07" w:rsidP="00A60135">
      <w:pPr>
        <w:pStyle w:val="BP1"/>
      </w:pPr>
      <w:r w:rsidRPr="00A60135">
        <w:t>i</w:t>
      </w:r>
      <w:r w:rsidR="00761FB8" w:rsidRPr="00A60135">
        <w:t xml:space="preserve">s not dependent on its location to be understood as a ‘whole’ </w:t>
      </w:r>
      <w:r w:rsidR="00A177E6">
        <w:t>AND</w:t>
      </w:r>
    </w:p>
    <w:p w14:paraId="26594E8D" w14:textId="7E4666A5" w:rsidR="00761FB8" w:rsidRDefault="00BE2A07" w:rsidP="00A60135">
      <w:pPr>
        <w:pStyle w:val="BP1"/>
      </w:pPr>
      <w:r w:rsidRPr="00A60135">
        <w:t>i</w:t>
      </w:r>
      <w:r w:rsidR="00761FB8" w:rsidRPr="00A60135">
        <w:t>s not affixed to the place.</w:t>
      </w:r>
    </w:p>
    <w:p w14:paraId="4D6D13EE" w14:textId="1BDF6579" w:rsidR="00960B6D" w:rsidRDefault="00960B6D" w:rsidP="00960B6D">
      <w:pPr>
        <w:pStyle w:val="B1"/>
        <w:numPr>
          <w:ilvl w:val="1"/>
          <w:numId w:val="9"/>
        </w:numPr>
      </w:pPr>
      <w:r>
        <w:t xml:space="preserve">For the purposes of the Heritage Act, an item will be considered a </w:t>
      </w:r>
      <w:r w:rsidRPr="00960B6D">
        <w:rPr>
          <w:b/>
          <w:bCs/>
        </w:rPr>
        <w:t>‘fixture’</w:t>
      </w:r>
      <w:r>
        <w:t xml:space="preserve"> if it is</w:t>
      </w:r>
      <w:r w:rsidR="0003421A">
        <w:t xml:space="preserve"> an item that</w:t>
      </w:r>
      <w:r>
        <w:t>:</w:t>
      </w:r>
    </w:p>
    <w:p w14:paraId="6CA26D19" w14:textId="2EEB6B5D" w:rsidR="00960B6D" w:rsidRDefault="0003421A" w:rsidP="00A60135">
      <w:pPr>
        <w:pStyle w:val="BP1"/>
      </w:pPr>
      <w:r>
        <w:t xml:space="preserve">is </w:t>
      </w:r>
      <w:r w:rsidR="00BE2A07">
        <w:t>f</w:t>
      </w:r>
      <w:r w:rsidR="00960B6D">
        <w:t xml:space="preserve">ixed to the place </w:t>
      </w:r>
      <w:r w:rsidR="00A177E6">
        <w:t>AND</w:t>
      </w:r>
      <w:r w:rsidR="00960B6D">
        <w:t xml:space="preserve"> </w:t>
      </w:r>
    </w:p>
    <w:p w14:paraId="2E40378B" w14:textId="5F7B28C5" w:rsidR="00960B6D" w:rsidRDefault="0003421A" w:rsidP="00A60135">
      <w:pPr>
        <w:pStyle w:val="BP1"/>
      </w:pPr>
      <w:r>
        <w:t xml:space="preserve">is </w:t>
      </w:r>
      <w:r w:rsidR="00BE2A07">
        <w:t>r</w:t>
      </w:r>
      <w:r w:rsidR="00960B6D">
        <w:t>eliant on being fixed to the place to perform its function.</w:t>
      </w:r>
    </w:p>
    <w:p w14:paraId="35E8E884" w14:textId="071FC01B" w:rsidR="000D053E" w:rsidRDefault="00960B6D" w:rsidP="000D053E">
      <w:pPr>
        <w:pStyle w:val="B1"/>
        <w:numPr>
          <w:ilvl w:val="1"/>
          <w:numId w:val="9"/>
        </w:numPr>
      </w:pPr>
      <w:r>
        <w:t xml:space="preserve">Fixtures form part of the registered place and are therefore protected under the Heritage Act. Any removal of, or alteration to them may require approval from Heritage Victoria. </w:t>
      </w:r>
    </w:p>
    <w:p w14:paraId="6E9B0935" w14:textId="1E851DF7" w:rsidR="000D053E" w:rsidRPr="000D053E" w:rsidRDefault="000D053E" w:rsidP="00EC2C8D">
      <w:pPr>
        <w:pStyle w:val="B1"/>
        <w:numPr>
          <w:ilvl w:val="0"/>
          <w:numId w:val="9"/>
        </w:numPr>
        <w:spacing w:before="200"/>
        <w:ind w:left="357" w:hanging="357"/>
        <w:rPr>
          <w:b/>
          <w:bCs/>
        </w:rPr>
      </w:pPr>
      <w:r w:rsidRPr="000D053E">
        <w:rPr>
          <w:b/>
          <w:bCs/>
          <w:color w:val="AA1E2E"/>
        </w:rPr>
        <w:t>WHEN IS AN OBJECT INTEGRAL TO A PLACE?</w:t>
      </w:r>
    </w:p>
    <w:p w14:paraId="2FB99415" w14:textId="219D2B6C" w:rsidR="00AC5E7E" w:rsidRPr="00AC5E7E" w:rsidRDefault="00AC5E7E" w:rsidP="00AC5E7E">
      <w:pPr>
        <w:pStyle w:val="B1"/>
        <w:numPr>
          <w:ilvl w:val="1"/>
          <w:numId w:val="9"/>
        </w:numPr>
      </w:pPr>
      <w:r w:rsidRPr="00AC5E7E">
        <w:t xml:space="preserve">The Heritage Act does not provide guidance on the circumstances in which an ‘object’ becomes ‘integral to understanding the cultural heritage significance’ of a place pursuant to </w:t>
      </w:r>
      <w:r w:rsidR="00D524F2">
        <w:t>S</w:t>
      </w:r>
      <w:r w:rsidR="00E32B72">
        <w:t xml:space="preserve">ection </w:t>
      </w:r>
      <w:r w:rsidRPr="00AC5E7E">
        <w:t xml:space="preserve">31(1) and </w:t>
      </w:r>
      <w:r w:rsidR="00D524F2">
        <w:t>S</w:t>
      </w:r>
      <w:r w:rsidR="00E32B72">
        <w:t xml:space="preserve">ection </w:t>
      </w:r>
      <w:r w:rsidRPr="00AC5E7E">
        <w:t>49(1)(e).</w:t>
      </w:r>
    </w:p>
    <w:p w14:paraId="513B3131" w14:textId="77777777" w:rsidR="00AE11F3" w:rsidRPr="00AE11F3" w:rsidRDefault="00AE11F3" w:rsidP="00A803E2">
      <w:pPr>
        <w:pStyle w:val="B1"/>
        <w:numPr>
          <w:ilvl w:val="1"/>
          <w:numId w:val="9"/>
        </w:numPr>
      </w:pPr>
      <w:r w:rsidRPr="00AE11F3">
        <w:t>For the purposes of the Heritage Act, both fixed objects and non-fixed objects can be objects integral.</w:t>
      </w:r>
    </w:p>
    <w:p w14:paraId="77FC8240" w14:textId="1C4E0058" w:rsidR="00A803E2" w:rsidRPr="00A803E2" w:rsidRDefault="00A803E2" w:rsidP="00A803E2">
      <w:pPr>
        <w:pStyle w:val="B1"/>
        <w:numPr>
          <w:ilvl w:val="1"/>
          <w:numId w:val="9"/>
        </w:numPr>
      </w:pPr>
      <w:r w:rsidRPr="00A803E2">
        <w:t xml:space="preserve">Where a fixture also exhibits the characteristics of a fixed object, as outlined in </w:t>
      </w:r>
      <w:r w:rsidR="00D524F2">
        <w:t>C</w:t>
      </w:r>
      <w:r w:rsidR="001B480E">
        <w:t xml:space="preserve">lause </w:t>
      </w:r>
      <w:r w:rsidRPr="00A803E2">
        <w:t>3.3, it may be identified as an object integral.</w:t>
      </w:r>
    </w:p>
    <w:p w14:paraId="7E26CC13" w14:textId="7A47DD19" w:rsidR="00CA05D9" w:rsidRDefault="00CA05D9" w:rsidP="00CA05D9">
      <w:pPr>
        <w:pStyle w:val="B1"/>
        <w:numPr>
          <w:ilvl w:val="1"/>
          <w:numId w:val="9"/>
        </w:numPr>
      </w:pPr>
      <w:r>
        <w:t>For the purposes of the Heritage Act, an object will be considered integral to a place if:</w:t>
      </w:r>
    </w:p>
    <w:p w14:paraId="791FC5D2" w14:textId="18829CCA" w:rsidR="00AA5CA3" w:rsidRDefault="00D5608E" w:rsidP="00A60135">
      <w:pPr>
        <w:pStyle w:val="BP1"/>
      </w:pPr>
      <w:r>
        <w:t xml:space="preserve">it forms a key part of that place, being a component in its design, operation or use that contributes importantly to a richer and more complete understanding of its historical, cultural, technical, aesthetic and/or social meaning at a </w:t>
      </w:r>
      <w:r w:rsidR="00A177E6">
        <w:t>S</w:t>
      </w:r>
      <w:r>
        <w:t xml:space="preserve">tate level </w:t>
      </w:r>
      <w:r w:rsidR="005D7146">
        <w:t>AND</w:t>
      </w:r>
    </w:p>
    <w:p w14:paraId="31F9FBB3" w14:textId="6E02E05A" w:rsidR="00646D68" w:rsidRDefault="00D5608E" w:rsidP="00A60135">
      <w:pPr>
        <w:pStyle w:val="BP1"/>
      </w:pPr>
      <w:r>
        <w:t>that contribution can be substantiated through physical, documentary or oral evidence.</w:t>
      </w:r>
    </w:p>
    <w:p w14:paraId="49685E8F" w14:textId="55E7CEF9" w:rsidR="00D5608E" w:rsidRDefault="009124FC" w:rsidP="00CA05D9">
      <w:pPr>
        <w:pStyle w:val="B1"/>
        <w:numPr>
          <w:ilvl w:val="1"/>
          <w:numId w:val="9"/>
        </w:numPr>
      </w:pPr>
      <w:r>
        <w:t>Items may be nominat</w:t>
      </w:r>
      <w:r w:rsidR="00C80552">
        <w:t>ed</w:t>
      </w:r>
      <w:r>
        <w:t xml:space="preserve"> for registration as ‘objects integral’:</w:t>
      </w:r>
    </w:p>
    <w:p w14:paraId="7481E30E" w14:textId="77777777" w:rsidR="005D7146" w:rsidRDefault="008A2BF7" w:rsidP="005D7146">
      <w:pPr>
        <w:pStyle w:val="BP1"/>
      </w:pPr>
      <w:r>
        <w:t>w</w:t>
      </w:r>
      <w:r w:rsidR="00197ACB">
        <w:t>hen they clearly satisfy the tests set out in Clauses 3.3 or 3.4 as well as the threshold established at Clause 4.4</w:t>
      </w:r>
    </w:p>
    <w:p w14:paraId="2D57AA1D" w14:textId="10DC7504" w:rsidR="000D053E" w:rsidRDefault="005D7146" w:rsidP="005D7146">
      <w:pPr>
        <w:pStyle w:val="BP1"/>
        <w:numPr>
          <w:ilvl w:val="0"/>
          <w:numId w:val="0"/>
        </w:numPr>
        <w:ind w:left="1134"/>
      </w:pPr>
      <w:r>
        <w:t>OR</w:t>
      </w:r>
    </w:p>
    <w:p w14:paraId="668B63A0" w14:textId="4647897B" w:rsidR="00FB36B5" w:rsidRPr="000D053E" w:rsidRDefault="00E70B7C" w:rsidP="00A60135">
      <w:pPr>
        <w:pStyle w:val="BP1"/>
      </w:pPr>
      <w:r>
        <w:t>i</w:t>
      </w:r>
      <w:r w:rsidR="00FB36B5">
        <w:t>f an item has been identified in relation to Clause 4.3, it must also clearly satisfy the test set out in 3.3 as well as the threshold established at Clause 4.4.</w:t>
      </w:r>
    </w:p>
    <w:p w14:paraId="6F48F9B7" w14:textId="5D0DB70D" w:rsidR="00FD22D8" w:rsidRDefault="00FD22D8" w:rsidP="00047FBE">
      <w:pPr>
        <w:pStyle w:val="B1"/>
      </w:pPr>
    </w:p>
    <w:p w14:paraId="40A1BA40" w14:textId="26B67235" w:rsidR="00237A9E" w:rsidRDefault="002F2556" w:rsidP="00EC2C8D">
      <w:pPr>
        <w:pStyle w:val="H2AFTER"/>
        <w:rPr>
          <w:color w:val="AA1E2E"/>
        </w:rPr>
      </w:pPr>
      <w:r>
        <w:rPr>
          <w:color w:val="AA1E2E"/>
        </w:rPr>
        <w:br w:type="page"/>
      </w:r>
    </w:p>
    <w:p w14:paraId="5317215F" w14:textId="40BC4510" w:rsidR="006F249B" w:rsidRPr="00375BD4" w:rsidRDefault="00117638" w:rsidP="00EC2C8D">
      <w:pPr>
        <w:pStyle w:val="H2AFTER"/>
        <w:rPr>
          <w:color w:val="AA1E2E"/>
        </w:rPr>
      </w:pPr>
      <w:r w:rsidRPr="00375BD4">
        <w:rPr>
          <w:color w:val="AA1E2E"/>
        </w:rPr>
        <w:lastRenderedPageBreak/>
        <w:t xml:space="preserve">GLOSSARY </w:t>
      </w:r>
    </w:p>
    <w:tbl>
      <w:tblPr>
        <w:tblW w:w="9781" w:type="dxa"/>
        <w:tblLayout w:type="fixed"/>
        <w:tblLook w:val="0600" w:firstRow="0" w:lastRow="0" w:firstColumn="0" w:lastColumn="0" w:noHBand="1" w:noVBand="1"/>
      </w:tblPr>
      <w:tblGrid>
        <w:gridCol w:w="2127"/>
        <w:gridCol w:w="7654"/>
      </w:tblGrid>
      <w:tr w:rsidR="00117638" w:rsidRPr="00117638" w14:paraId="160E9788" w14:textId="77777777" w:rsidTr="00211843">
        <w:trPr>
          <w:trHeight w:val="360"/>
        </w:trPr>
        <w:tc>
          <w:tcPr>
            <w:tcW w:w="2127" w:type="dxa"/>
            <w:shd w:val="clear" w:color="auto" w:fill="323E48"/>
            <w:tcMar>
              <w:top w:w="100" w:type="dxa"/>
              <w:left w:w="100" w:type="dxa"/>
              <w:bottom w:w="100" w:type="dxa"/>
              <w:right w:w="100" w:type="dxa"/>
            </w:tcMar>
          </w:tcPr>
          <w:p w14:paraId="0FDD08CF" w14:textId="36105053" w:rsidR="00117638" w:rsidRPr="00117638" w:rsidRDefault="00F677CB" w:rsidP="00375BD4">
            <w:pPr>
              <w:pStyle w:val="TH1"/>
              <w:spacing w:before="80" w:after="80"/>
              <w:rPr>
                <w:rFonts w:eastAsia="Trebuchet MS"/>
                <w:lang w:eastAsia="en-AU"/>
              </w:rPr>
            </w:pPr>
            <w:r>
              <w:rPr>
                <w:rFonts w:eastAsia="Trebuchet MS"/>
                <w:lang w:eastAsia="en-AU"/>
              </w:rPr>
              <w:t>Term</w:t>
            </w:r>
            <w:r w:rsidR="00117638" w:rsidRPr="00117638">
              <w:rPr>
                <w:rFonts w:eastAsia="Trebuchet MS"/>
                <w:lang w:eastAsia="en-AU"/>
              </w:rPr>
              <w:t xml:space="preserve"> </w:t>
            </w:r>
          </w:p>
        </w:tc>
        <w:tc>
          <w:tcPr>
            <w:tcW w:w="7654" w:type="dxa"/>
            <w:shd w:val="clear" w:color="auto" w:fill="323E48"/>
            <w:tcMar>
              <w:top w:w="100" w:type="dxa"/>
              <w:left w:w="100" w:type="dxa"/>
              <w:bottom w:w="100" w:type="dxa"/>
              <w:right w:w="100" w:type="dxa"/>
            </w:tcMar>
          </w:tcPr>
          <w:p w14:paraId="2DA7B55B" w14:textId="7A00FDC6" w:rsidR="00117638" w:rsidRPr="00117638" w:rsidRDefault="00F677CB" w:rsidP="005A6393">
            <w:pPr>
              <w:pStyle w:val="TH1"/>
              <w:spacing w:before="80" w:after="80"/>
              <w:ind w:left="0"/>
              <w:rPr>
                <w:rFonts w:eastAsia="Trebuchet MS"/>
                <w:lang w:eastAsia="en-AU"/>
              </w:rPr>
            </w:pPr>
            <w:r>
              <w:rPr>
                <w:rFonts w:eastAsia="Trebuchet MS"/>
                <w:lang w:eastAsia="en-AU"/>
              </w:rPr>
              <w:t xml:space="preserve">Definition </w:t>
            </w:r>
          </w:p>
        </w:tc>
      </w:tr>
      <w:tr w:rsidR="00117638" w:rsidRPr="00117638" w14:paraId="4BAC2D73" w14:textId="77777777" w:rsidTr="00211843">
        <w:trPr>
          <w:trHeight w:val="89"/>
        </w:trPr>
        <w:tc>
          <w:tcPr>
            <w:tcW w:w="2127" w:type="dxa"/>
            <w:tcBorders>
              <w:bottom w:val="single" w:sz="8" w:space="0" w:color="1F3864"/>
            </w:tcBorders>
            <w:tcMar>
              <w:top w:w="100" w:type="dxa"/>
              <w:left w:w="100" w:type="dxa"/>
              <w:bottom w:w="100" w:type="dxa"/>
              <w:right w:w="100" w:type="dxa"/>
            </w:tcMar>
          </w:tcPr>
          <w:p w14:paraId="215C48C8" w14:textId="30DA8A87" w:rsidR="00117638" w:rsidRPr="00117638" w:rsidRDefault="00F677CB" w:rsidP="00780285">
            <w:pPr>
              <w:pStyle w:val="TB1"/>
              <w:rPr>
                <w:rFonts w:eastAsia="Trebuchet MS"/>
                <w:lang w:eastAsia="en-AU"/>
              </w:rPr>
            </w:pPr>
            <w:r>
              <w:rPr>
                <w:rFonts w:eastAsia="Trebuchet MS"/>
                <w:lang w:eastAsia="en-AU"/>
              </w:rPr>
              <w:t xml:space="preserve">Fixed object </w:t>
            </w:r>
          </w:p>
        </w:tc>
        <w:tc>
          <w:tcPr>
            <w:tcW w:w="7654" w:type="dxa"/>
            <w:tcBorders>
              <w:bottom w:val="single" w:sz="8" w:space="0" w:color="1F3864"/>
            </w:tcBorders>
            <w:tcMar>
              <w:top w:w="100" w:type="dxa"/>
              <w:left w:w="100" w:type="dxa"/>
              <w:bottom w:w="100" w:type="dxa"/>
              <w:right w:w="100" w:type="dxa"/>
            </w:tcMar>
            <w:vAlign w:val="center"/>
          </w:tcPr>
          <w:p w14:paraId="4625E6B4" w14:textId="795F42D5" w:rsidR="000B417E" w:rsidRPr="000B417E" w:rsidRDefault="000B417E" w:rsidP="001A2A0D">
            <w:pPr>
              <w:pStyle w:val="TB1"/>
              <w:spacing w:after="60"/>
              <w:rPr>
                <w:rFonts w:eastAsia="Trebuchet MS"/>
                <w:lang w:eastAsia="en-AU"/>
              </w:rPr>
            </w:pPr>
            <w:r w:rsidRPr="000B417E">
              <w:rPr>
                <w:rFonts w:eastAsia="Trebuchet MS"/>
                <w:lang w:eastAsia="en-AU"/>
              </w:rPr>
              <w:t xml:space="preserve">An </w:t>
            </w:r>
            <w:r w:rsidR="00EA6BCF">
              <w:rPr>
                <w:rFonts w:eastAsia="Trebuchet MS"/>
                <w:lang w:eastAsia="en-AU"/>
              </w:rPr>
              <w:t>i</w:t>
            </w:r>
            <w:r w:rsidRPr="000B417E">
              <w:rPr>
                <w:rFonts w:eastAsia="Trebuchet MS"/>
                <w:lang w:eastAsia="en-AU"/>
              </w:rPr>
              <w:t xml:space="preserve">tem that: </w:t>
            </w:r>
          </w:p>
          <w:p w14:paraId="37106820" w14:textId="3CEDA3CA" w:rsidR="000B417E" w:rsidRPr="000B417E" w:rsidRDefault="001A2A0D" w:rsidP="00A60135">
            <w:pPr>
              <w:pStyle w:val="BP1"/>
              <w:rPr>
                <w:rFonts w:eastAsia="Trebuchet MS"/>
                <w:lang w:eastAsia="en-AU"/>
              </w:rPr>
            </w:pPr>
            <w:r>
              <w:rPr>
                <w:rFonts w:eastAsia="Trebuchet MS"/>
                <w:lang w:eastAsia="en-AU"/>
              </w:rPr>
              <w:t>f</w:t>
            </w:r>
            <w:r w:rsidR="000B417E" w:rsidRPr="000B417E">
              <w:rPr>
                <w:rFonts w:eastAsia="Trebuchet MS"/>
                <w:lang w:eastAsia="en-AU"/>
              </w:rPr>
              <w:t xml:space="preserve">irst existed as a ‘whole’ moveable object </w:t>
            </w:r>
            <w:r w:rsidR="00A177E6">
              <w:rPr>
                <w:rFonts w:eastAsia="Trebuchet MS"/>
                <w:lang w:eastAsia="en-AU"/>
              </w:rPr>
              <w:t>AND</w:t>
            </w:r>
          </w:p>
          <w:p w14:paraId="0B775A36" w14:textId="03B15EC5" w:rsidR="000B417E" w:rsidRPr="000B417E" w:rsidRDefault="001A2A0D" w:rsidP="00A60135">
            <w:pPr>
              <w:pStyle w:val="BP1"/>
              <w:rPr>
                <w:rFonts w:eastAsia="Trebuchet MS"/>
                <w:lang w:eastAsia="en-AU"/>
              </w:rPr>
            </w:pPr>
            <w:r>
              <w:rPr>
                <w:rFonts w:eastAsia="Trebuchet MS"/>
                <w:lang w:eastAsia="en-AU"/>
              </w:rPr>
              <w:t>i</w:t>
            </w:r>
            <w:r w:rsidR="000B417E" w:rsidRPr="000B417E">
              <w:rPr>
                <w:rFonts w:eastAsia="Trebuchet MS"/>
                <w:lang w:eastAsia="en-AU"/>
              </w:rPr>
              <w:t xml:space="preserve">s not dependent on its location to be understood as a ‘whole’ </w:t>
            </w:r>
            <w:r w:rsidR="00A177E6">
              <w:rPr>
                <w:rFonts w:eastAsia="Trebuchet MS"/>
                <w:lang w:eastAsia="en-AU"/>
              </w:rPr>
              <w:t>AND</w:t>
            </w:r>
          </w:p>
          <w:p w14:paraId="7CCC8123" w14:textId="468D4BA3" w:rsidR="000B417E" w:rsidRPr="000B417E" w:rsidRDefault="001A2A0D" w:rsidP="00A60135">
            <w:pPr>
              <w:pStyle w:val="BP1"/>
              <w:rPr>
                <w:rFonts w:eastAsia="Trebuchet MS"/>
                <w:lang w:eastAsia="en-AU"/>
              </w:rPr>
            </w:pPr>
            <w:r>
              <w:rPr>
                <w:rFonts w:eastAsia="Trebuchet MS"/>
                <w:lang w:eastAsia="en-AU"/>
              </w:rPr>
              <w:t>h</w:t>
            </w:r>
            <w:r w:rsidR="000B417E" w:rsidRPr="000B417E">
              <w:rPr>
                <w:rFonts w:eastAsia="Trebuchet MS"/>
                <w:lang w:eastAsia="en-AU"/>
              </w:rPr>
              <w:t>as been incorporated into a structure or part of a structure through fixing to stabilise, prevent movement</w:t>
            </w:r>
            <w:r w:rsidR="00AA5CA3">
              <w:rPr>
                <w:rFonts w:eastAsia="Trebuchet MS"/>
                <w:lang w:eastAsia="en-AU"/>
              </w:rPr>
              <w:t>,</w:t>
            </w:r>
            <w:r w:rsidR="000B417E" w:rsidRPr="000B417E">
              <w:rPr>
                <w:rFonts w:eastAsia="Trebuchet MS"/>
                <w:lang w:eastAsia="en-AU"/>
              </w:rPr>
              <w:t xml:space="preserve"> secure from theft</w:t>
            </w:r>
            <w:r w:rsidR="00AA5CA3">
              <w:rPr>
                <w:rFonts w:eastAsia="Trebuchet MS"/>
                <w:lang w:eastAsia="en-AU"/>
              </w:rPr>
              <w:t>,</w:t>
            </w:r>
            <w:r w:rsidR="000B417E" w:rsidRPr="000B417E">
              <w:rPr>
                <w:rFonts w:eastAsia="Trebuchet MS"/>
                <w:lang w:eastAsia="en-AU"/>
              </w:rPr>
              <w:t xml:space="preserve"> or for decorative purposes </w:t>
            </w:r>
            <w:r w:rsidR="00A177E6">
              <w:rPr>
                <w:rFonts w:eastAsia="Trebuchet MS"/>
                <w:lang w:eastAsia="en-AU"/>
              </w:rPr>
              <w:t>AND</w:t>
            </w:r>
          </w:p>
          <w:p w14:paraId="6C60E357" w14:textId="2D831596" w:rsidR="00117638" w:rsidRPr="000B417E" w:rsidRDefault="001A2A0D" w:rsidP="00A60135">
            <w:pPr>
              <w:pStyle w:val="BP1"/>
              <w:rPr>
                <w:rFonts w:eastAsia="Trebuchet MS"/>
                <w:lang w:eastAsia="en-AU"/>
              </w:rPr>
            </w:pPr>
            <w:r>
              <w:rPr>
                <w:rFonts w:eastAsia="Trebuchet MS"/>
                <w:lang w:eastAsia="en-AU"/>
              </w:rPr>
              <w:t>t</w:t>
            </w:r>
            <w:r w:rsidR="000B417E" w:rsidRPr="000B417E">
              <w:rPr>
                <w:rFonts w:eastAsia="Trebuchet MS"/>
                <w:lang w:eastAsia="en-AU"/>
              </w:rPr>
              <w:t>he removal of which would require the dismantling of its fixing supports or mechanisms.</w:t>
            </w:r>
          </w:p>
        </w:tc>
      </w:tr>
      <w:tr w:rsidR="00117638" w:rsidRPr="00117638" w14:paraId="702C747D" w14:textId="77777777" w:rsidTr="00211843">
        <w:trPr>
          <w:trHeight w:val="314"/>
        </w:trPr>
        <w:tc>
          <w:tcPr>
            <w:tcW w:w="2127" w:type="dxa"/>
            <w:tcBorders>
              <w:top w:val="single" w:sz="8" w:space="0" w:color="1F3864"/>
              <w:bottom w:val="single" w:sz="8" w:space="0" w:color="1F3864"/>
            </w:tcBorders>
            <w:tcMar>
              <w:top w:w="100" w:type="dxa"/>
              <w:left w:w="100" w:type="dxa"/>
              <w:bottom w:w="100" w:type="dxa"/>
              <w:right w:w="100" w:type="dxa"/>
            </w:tcMar>
          </w:tcPr>
          <w:p w14:paraId="05CC5E42" w14:textId="49D8AD30" w:rsidR="00117638" w:rsidRPr="00117638" w:rsidRDefault="00F677CB" w:rsidP="00780285">
            <w:pPr>
              <w:pStyle w:val="TB1"/>
              <w:rPr>
                <w:rFonts w:eastAsia="Trebuchet MS"/>
                <w:lang w:eastAsia="en-AU"/>
              </w:rPr>
            </w:pPr>
            <w:r>
              <w:rPr>
                <w:rFonts w:eastAsia="Trebuchet MS"/>
                <w:lang w:eastAsia="en-AU"/>
              </w:rPr>
              <w:t>Non-fixed object</w:t>
            </w:r>
          </w:p>
        </w:tc>
        <w:tc>
          <w:tcPr>
            <w:tcW w:w="7654" w:type="dxa"/>
            <w:tcBorders>
              <w:top w:val="single" w:sz="8" w:space="0" w:color="1F3864"/>
              <w:bottom w:val="single" w:sz="8" w:space="0" w:color="1F3864"/>
            </w:tcBorders>
            <w:tcMar>
              <w:top w:w="100" w:type="dxa"/>
              <w:left w:w="100" w:type="dxa"/>
              <w:bottom w:w="100" w:type="dxa"/>
              <w:right w:w="100" w:type="dxa"/>
            </w:tcMar>
          </w:tcPr>
          <w:p w14:paraId="69645F74" w14:textId="77777777" w:rsidR="00BC5D74" w:rsidRPr="00BC5D74" w:rsidRDefault="00BC5D74" w:rsidP="001A2A0D">
            <w:pPr>
              <w:pStyle w:val="TB1"/>
              <w:spacing w:after="60"/>
              <w:rPr>
                <w:rFonts w:eastAsia="Trebuchet MS"/>
                <w:lang w:eastAsia="en-AU"/>
              </w:rPr>
            </w:pPr>
            <w:r w:rsidRPr="00BC5D74">
              <w:rPr>
                <w:rFonts w:eastAsia="Trebuchet MS"/>
                <w:lang w:eastAsia="en-AU"/>
              </w:rPr>
              <w:t xml:space="preserve">An item that: </w:t>
            </w:r>
          </w:p>
          <w:p w14:paraId="4AAEE68B" w14:textId="359B7C2A" w:rsidR="00BC5D74" w:rsidRPr="00BC5D74" w:rsidRDefault="001A2A0D" w:rsidP="00A60135">
            <w:pPr>
              <w:pStyle w:val="BP1"/>
              <w:rPr>
                <w:rFonts w:eastAsia="Trebuchet MS"/>
                <w:lang w:eastAsia="en-AU"/>
              </w:rPr>
            </w:pPr>
            <w:r>
              <w:rPr>
                <w:rFonts w:eastAsia="Trebuchet MS"/>
                <w:lang w:eastAsia="en-AU"/>
              </w:rPr>
              <w:t>e</w:t>
            </w:r>
            <w:r w:rsidR="00BC5D74" w:rsidRPr="00BC5D74">
              <w:rPr>
                <w:rFonts w:eastAsia="Trebuchet MS"/>
                <w:lang w:eastAsia="en-AU"/>
              </w:rPr>
              <w:t xml:space="preserve">xists as a ‘whole’ moveable object </w:t>
            </w:r>
            <w:r w:rsidR="00A177E6">
              <w:rPr>
                <w:rFonts w:eastAsia="Trebuchet MS"/>
                <w:lang w:eastAsia="en-AU"/>
              </w:rPr>
              <w:t>AND</w:t>
            </w:r>
          </w:p>
          <w:p w14:paraId="32CF3093" w14:textId="28F729D5" w:rsidR="00BC5D74" w:rsidRPr="00BC5D74" w:rsidRDefault="001A2A0D" w:rsidP="00A60135">
            <w:pPr>
              <w:pStyle w:val="BP1"/>
              <w:rPr>
                <w:rFonts w:eastAsia="Trebuchet MS"/>
                <w:lang w:eastAsia="en-AU"/>
              </w:rPr>
            </w:pPr>
            <w:r>
              <w:rPr>
                <w:rFonts w:eastAsia="Trebuchet MS"/>
                <w:lang w:eastAsia="en-AU"/>
              </w:rPr>
              <w:t>i</w:t>
            </w:r>
            <w:r w:rsidR="00BC5D74" w:rsidRPr="00BC5D74">
              <w:rPr>
                <w:rFonts w:eastAsia="Trebuchet MS"/>
                <w:lang w:eastAsia="en-AU"/>
              </w:rPr>
              <w:t xml:space="preserve">s not dependent on its location to be understood as a ‘whole’ </w:t>
            </w:r>
            <w:r w:rsidR="00A177E6">
              <w:rPr>
                <w:rFonts w:eastAsia="Trebuchet MS"/>
                <w:lang w:eastAsia="en-AU"/>
              </w:rPr>
              <w:t>AND</w:t>
            </w:r>
          </w:p>
          <w:p w14:paraId="0C48AEB2" w14:textId="41F22DA0" w:rsidR="00117638" w:rsidRPr="00BC5D74" w:rsidRDefault="00B868A5" w:rsidP="00A60135">
            <w:pPr>
              <w:pStyle w:val="BP1"/>
              <w:rPr>
                <w:rFonts w:eastAsia="Trebuchet MS"/>
                <w:lang w:eastAsia="en-AU"/>
              </w:rPr>
            </w:pPr>
            <w:r>
              <w:rPr>
                <w:rFonts w:eastAsia="Trebuchet MS"/>
                <w:lang w:eastAsia="en-AU"/>
              </w:rPr>
              <w:t>is not affixed to the place</w:t>
            </w:r>
            <w:r w:rsidR="00AA5CA3">
              <w:rPr>
                <w:rFonts w:eastAsia="Trebuchet MS"/>
                <w:lang w:eastAsia="en-AU"/>
              </w:rPr>
              <w:t>.</w:t>
            </w:r>
          </w:p>
        </w:tc>
      </w:tr>
      <w:tr w:rsidR="00117638" w:rsidRPr="00117638" w14:paraId="4AE12C2A" w14:textId="77777777" w:rsidTr="00211843">
        <w:trPr>
          <w:trHeight w:val="314"/>
        </w:trPr>
        <w:tc>
          <w:tcPr>
            <w:tcW w:w="2127" w:type="dxa"/>
            <w:tcBorders>
              <w:top w:val="single" w:sz="8" w:space="0" w:color="1F3864"/>
              <w:bottom w:val="single" w:sz="8" w:space="0" w:color="1F3864"/>
            </w:tcBorders>
            <w:tcMar>
              <w:top w:w="100" w:type="dxa"/>
              <w:left w:w="100" w:type="dxa"/>
              <w:bottom w:w="100" w:type="dxa"/>
              <w:right w:w="100" w:type="dxa"/>
            </w:tcMar>
          </w:tcPr>
          <w:p w14:paraId="1AAAEAC9" w14:textId="28C2B978" w:rsidR="00117638" w:rsidRPr="00117638" w:rsidRDefault="00F677CB" w:rsidP="00780285">
            <w:pPr>
              <w:pStyle w:val="TB1"/>
              <w:rPr>
                <w:rFonts w:eastAsia="Trebuchet MS"/>
                <w:lang w:eastAsia="en-AU"/>
              </w:rPr>
            </w:pPr>
            <w:r>
              <w:rPr>
                <w:rFonts w:eastAsia="Trebuchet MS"/>
                <w:lang w:eastAsia="en-AU"/>
              </w:rPr>
              <w:t xml:space="preserve">Fixture </w:t>
            </w:r>
          </w:p>
        </w:tc>
        <w:tc>
          <w:tcPr>
            <w:tcW w:w="7654" w:type="dxa"/>
            <w:tcBorders>
              <w:top w:val="single" w:sz="8" w:space="0" w:color="1F3864"/>
              <w:bottom w:val="single" w:sz="8" w:space="0" w:color="1F3864"/>
            </w:tcBorders>
            <w:tcMar>
              <w:top w:w="100" w:type="dxa"/>
              <w:left w:w="100" w:type="dxa"/>
              <w:bottom w:w="100" w:type="dxa"/>
              <w:right w:w="100" w:type="dxa"/>
            </w:tcMar>
          </w:tcPr>
          <w:p w14:paraId="43906EC9" w14:textId="5C19901A" w:rsidR="003A4358" w:rsidRPr="003A4358" w:rsidRDefault="003A4358" w:rsidP="001A0EF8">
            <w:pPr>
              <w:pStyle w:val="TB1"/>
              <w:spacing w:after="60"/>
              <w:rPr>
                <w:rFonts w:eastAsia="Trebuchet MS"/>
                <w:lang w:eastAsia="en-AU"/>
              </w:rPr>
            </w:pPr>
            <w:r w:rsidRPr="003A4358">
              <w:rPr>
                <w:rFonts w:eastAsia="Trebuchet MS"/>
                <w:lang w:eastAsia="en-AU"/>
              </w:rPr>
              <w:t xml:space="preserve">An </w:t>
            </w:r>
            <w:r w:rsidR="00EA6BCF">
              <w:rPr>
                <w:rFonts w:eastAsia="Trebuchet MS"/>
                <w:lang w:eastAsia="en-AU"/>
              </w:rPr>
              <w:t>i</w:t>
            </w:r>
            <w:r w:rsidRPr="003A4358">
              <w:rPr>
                <w:rFonts w:eastAsia="Trebuchet MS"/>
                <w:lang w:eastAsia="en-AU"/>
              </w:rPr>
              <w:t xml:space="preserve">tem that: </w:t>
            </w:r>
          </w:p>
          <w:p w14:paraId="16F6DE87" w14:textId="2D0C8A4D" w:rsidR="003A4358" w:rsidRPr="003A4358" w:rsidRDefault="00F6273E" w:rsidP="00A60135">
            <w:pPr>
              <w:pStyle w:val="BP1"/>
              <w:rPr>
                <w:rFonts w:eastAsia="Trebuchet MS"/>
                <w:lang w:eastAsia="en-AU"/>
              </w:rPr>
            </w:pPr>
            <w:r>
              <w:rPr>
                <w:rFonts w:eastAsia="Trebuchet MS"/>
                <w:lang w:eastAsia="en-AU"/>
              </w:rPr>
              <w:t xml:space="preserve">is </w:t>
            </w:r>
            <w:r w:rsidR="001A0EF8">
              <w:rPr>
                <w:rFonts w:eastAsia="Trebuchet MS"/>
                <w:lang w:eastAsia="en-AU"/>
              </w:rPr>
              <w:t>f</w:t>
            </w:r>
            <w:r w:rsidR="003A4358" w:rsidRPr="003A4358">
              <w:rPr>
                <w:rFonts w:eastAsia="Trebuchet MS"/>
                <w:lang w:eastAsia="en-AU"/>
              </w:rPr>
              <w:t xml:space="preserve">ixed to the place </w:t>
            </w:r>
            <w:r w:rsidR="00A177E6">
              <w:rPr>
                <w:rFonts w:eastAsia="Trebuchet MS"/>
                <w:lang w:eastAsia="en-AU"/>
              </w:rPr>
              <w:t>AND</w:t>
            </w:r>
            <w:r w:rsidR="003A4358" w:rsidRPr="003A4358">
              <w:rPr>
                <w:rFonts w:eastAsia="Trebuchet MS"/>
                <w:lang w:eastAsia="en-AU"/>
              </w:rPr>
              <w:t xml:space="preserve"> </w:t>
            </w:r>
          </w:p>
          <w:p w14:paraId="29FDECC6" w14:textId="3EB0B6BB" w:rsidR="00117638" w:rsidRPr="00117638" w:rsidRDefault="00F6273E" w:rsidP="00A60135">
            <w:pPr>
              <w:pStyle w:val="BP1"/>
              <w:rPr>
                <w:rFonts w:eastAsia="Trebuchet MS"/>
                <w:lang w:eastAsia="en-AU"/>
              </w:rPr>
            </w:pPr>
            <w:r>
              <w:rPr>
                <w:rFonts w:eastAsia="Trebuchet MS"/>
                <w:lang w:eastAsia="en-AU"/>
              </w:rPr>
              <w:t xml:space="preserve">is </w:t>
            </w:r>
            <w:r w:rsidR="001A0EF8">
              <w:rPr>
                <w:rFonts w:eastAsia="Trebuchet MS"/>
                <w:lang w:eastAsia="en-AU"/>
              </w:rPr>
              <w:t>r</w:t>
            </w:r>
            <w:r w:rsidR="003A4358" w:rsidRPr="003A4358">
              <w:rPr>
                <w:rFonts w:eastAsia="Trebuchet MS"/>
                <w:lang w:eastAsia="en-AU"/>
              </w:rPr>
              <w:t>eliant on being fixed to the place to perform its function.</w:t>
            </w:r>
          </w:p>
        </w:tc>
      </w:tr>
    </w:tbl>
    <w:p w14:paraId="5F045B58" w14:textId="77777777" w:rsidR="009F1D5A" w:rsidRDefault="009F1D5A" w:rsidP="00047FBE">
      <w:pPr>
        <w:pStyle w:val="B1"/>
      </w:pPr>
    </w:p>
    <w:sectPr w:rsidR="009F1D5A" w:rsidSect="00047FBE">
      <w:footerReference w:type="default" r:id="rId17"/>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FDA7B" w14:textId="77777777" w:rsidR="000861F0" w:rsidRDefault="000861F0" w:rsidP="00047FBE">
      <w:pPr>
        <w:spacing w:after="0" w:line="240" w:lineRule="auto"/>
      </w:pPr>
      <w:r>
        <w:separator/>
      </w:r>
    </w:p>
  </w:endnote>
  <w:endnote w:type="continuationSeparator" w:id="0">
    <w:p w14:paraId="533347D0" w14:textId="77777777" w:rsidR="000861F0" w:rsidRDefault="000861F0" w:rsidP="00047FBE">
      <w:pPr>
        <w:spacing w:after="0" w:line="240" w:lineRule="auto"/>
      </w:pPr>
      <w:r>
        <w:continuationSeparator/>
      </w:r>
    </w:p>
  </w:endnote>
  <w:endnote w:type="continuationNotice" w:id="1">
    <w:p w14:paraId="2E9C2204" w14:textId="77777777" w:rsidR="000861F0" w:rsidRDefault="00086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E43B" w14:textId="319E340B" w:rsidR="007B2205" w:rsidRPr="007B2205" w:rsidRDefault="000861F0">
    <w:pPr>
      <w:pStyle w:val="Footer"/>
      <w:jc w:val="right"/>
      <w:rPr>
        <w:rFonts w:ascii="Arial" w:hAnsi="Arial" w:cs="Arial"/>
        <w:color w:val="323E48"/>
        <w:sz w:val="18"/>
        <w:szCs w:val="18"/>
      </w:rPr>
    </w:pPr>
    <w:sdt>
      <w:sdtPr>
        <w:id w:val="325174952"/>
        <w:docPartObj>
          <w:docPartGallery w:val="Page Numbers (Bottom of Page)"/>
          <w:docPartUnique/>
        </w:docPartObj>
      </w:sdtPr>
      <w:sdtEndPr>
        <w:rPr>
          <w:rFonts w:ascii="Arial" w:hAnsi="Arial" w:cs="Arial"/>
          <w:color w:val="323E48"/>
          <w:sz w:val="18"/>
          <w:szCs w:val="18"/>
        </w:rPr>
      </w:sdtEndPr>
      <w:sdtContent>
        <w:sdt>
          <w:sdtPr>
            <w:rPr>
              <w:rFonts w:ascii="Arial" w:hAnsi="Arial" w:cs="Arial"/>
              <w:color w:val="323E48"/>
              <w:sz w:val="18"/>
              <w:szCs w:val="18"/>
            </w:rPr>
            <w:id w:val="-1769616900"/>
            <w:docPartObj>
              <w:docPartGallery w:val="Page Numbers (Top of Page)"/>
              <w:docPartUnique/>
            </w:docPartObj>
          </w:sdtPr>
          <w:sdtEndPr/>
          <w:sdtContent>
            <w:r w:rsidR="007B2205">
              <w:rPr>
                <w:rFonts w:ascii="Arial" w:hAnsi="Arial" w:cs="Arial"/>
                <w:color w:val="323E48"/>
                <w:sz w:val="18"/>
                <w:szCs w:val="18"/>
              </w:rPr>
              <w:t xml:space="preserve"> (</w:t>
            </w:r>
            <w:r w:rsidR="00A177E6">
              <w:rPr>
                <w:rFonts w:ascii="Arial" w:hAnsi="Arial" w:cs="Arial"/>
                <w:color w:val="323E48"/>
                <w:sz w:val="18"/>
                <w:szCs w:val="18"/>
              </w:rPr>
              <w:t>HCV</w:t>
            </w:r>
            <w:r w:rsidR="007B2205">
              <w:rPr>
                <w:rFonts w:ascii="Arial" w:hAnsi="Arial" w:cs="Arial"/>
                <w:color w:val="323E48"/>
                <w:sz w:val="18"/>
                <w:szCs w:val="18"/>
              </w:rPr>
              <w:t xml:space="preserve"> </w:t>
            </w:r>
            <w:r w:rsidR="00201F02">
              <w:rPr>
                <w:rFonts w:ascii="Arial" w:hAnsi="Arial" w:cs="Arial"/>
                <w:color w:val="323E48"/>
                <w:sz w:val="18"/>
                <w:szCs w:val="18"/>
              </w:rPr>
              <w:t xml:space="preserve">Policy: Objects </w:t>
            </w:r>
            <w:r w:rsidR="00E47503">
              <w:rPr>
                <w:rFonts w:ascii="Arial" w:hAnsi="Arial" w:cs="Arial"/>
                <w:color w:val="323E48"/>
                <w:sz w:val="18"/>
                <w:szCs w:val="18"/>
              </w:rPr>
              <w:t>i</w:t>
            </w:r>
            <w:r w:rsidR="00201F02">
              <w:rPr>
                <w:rFonts w:ascii="Arial" w:hAnsi="Arial" w:cs="Arial"/>
                <w:color w:val="323E48"/>
                <w:sz w:val="18"/>
                <w:szCs w:val="18"/>
              </w:rPr>
              <w:t xml:space="preserve">ntegral to a </w:t>
            </w:r>
            <w:r w:rsidR="004923A7">
              <w:rPr>
                <w:rFonts w:ascii="Arial" w:hAnsi="Arial" w:cs="Arial"/>
                <w:color w:val="323E48"/>
                <w:sz w:val="18"/>
                <w:szCs w:val="18"/>
              </w:rPr>
              <w:t>registered</w:t>
            </w:r>
            <w:r w:rsidR="00201F02">
              <w:rPr>
                <w:rFonts w:ascii="Arial" w:hAnsi="Arial" w:cs="Arial"/>
                <w:color w:val="323E48"/>
                <w:sz w:val="18"/>
                <w:szCs w:val="18"/>
              </w:rPr>
              <w:t xml:space="preserve"> </w:t>
            </w:r>
            <w:r w:rsidR="00E47503">
              <w:rPr>
                <w:rFonts w:ascii="Arial" w:hAnsi="Arial" w:cs="Arial"/>
                <w:color w:val="323E48"/>
                <w:sz w:val="18"/>
                <w:szCs w:val="18"/>
              </w:rPr>
              <w:t>p</w:t>
            </w:r>
            <w:r w:rsidR="00201F02">
              <w:rPr>
                <w:rFonts w:ascii="Arial" w:hAnsi="Arial" w:cs="Arial"/>
                <w:color w:val="323E48"/>
                <w:sz w:val="18"/>
                <w:szCs w:val="18"/>
              </w:rPr>
              <w:t>lace</w:t>
            </w:r>
            <w:r w:rsidR="00E47503">
              <w:rPr>
                <w:rFonts w:ascii="Arial" w:hAnsi="Arial" w:cs="Arial"/>
                <w:color w:val="323E48"/>
                <w:sz w:val="18"/>
                <w:szCs w:val="18"/>
              </w:rPr>
              <w:t>; Ad</w:t>
            </w:r>
            <w:r w:rsidR="00DD1192">
              <w:rPr>
                <w:rFonts w:ascii="Arial" w:hAnsi="Arial" w:cs="Arial"/>
                <w:color w:val="323E48"/>
                <w:sz w:val="18"/>
                <w:szCs w:val="18"/>
              </w:rPr>
              <w:t xml:space="preserve">opted </w:t>
            </w:r>
            <w:r w:rsidR="00C5393A">
              <w:rPr>
                <w:rFonts w:ascii="Arial" w:hAnsi="Arial" w:cs="Arial"/>
                <w:color w:val="323E48"/>
                <w:sz w:val="18"/>
                <w:szCs w:val="18"/>
              </w:rPr>
              <w:t>1 October 2020</w:t>
            </w:r>
            <w:r w:rsidR="00082497">
              <w:rPr>
                <w:rFonts w:ascii="Arial" w:hAnsi="Arial" w:cs="Arial"/>
                <w:color w:val="323E48"/>
                <w:sz w:val="18"/>
                <w:szCs w:val="18"/>
              </w:rPr>
              <w:t xml:space="preserve">) </w:t>
            </w:r>
            <w:r w:rsidR="007B2205" w:rsidRPr="007B2205">
              <w:rPr>
                <w:rFonts w:ascii="Arial" w:hAnsi="Arial" w:cs="Arial"/>
                <w:color w:val="323E48"/>
                <w:sz w:val="18"/>
                <w:szCs w:val="18"/>
              </w:rPr>
              <w:t xml:space="preserve">Page </w:t>
            </w:r>
            <w:r w:rsidR="007B2205" w:rsidRPr="007B2205">
              <w:rPr>
                <w:rFonts w:ascii="Arial" w:hAnsi="Arial" w:cs="Arial"/>
                <w:b/>
                <w:bCs/>
                <w:color w:val="323E48"/>
                <w:sz w:val="18"/>
                <w:szCs w:val="18"/>
              </w:rPr>
              <w:fldChar w:fldCharType="begin"/>
            </w:r>
            <w:r w:rsidR="007B2205" w:rsidRPr="007B2205">
              <w:rPr>
                <w:rFonts w:ascii="Arial" w:hAnsi="Arial" w:cs="Arial"/>
                <w:b/>
                <w:bCs/>
                <w:color w:val="323E48"/>
                <w:sz w:val="18"/>
                <w:szCs w:val="18"/>
              </w:rPr>
              <w:instrText xml:space="preserve"> PAGE </w:instrText>
            </w:r>
            <w:r w:rsidR="007B2205" w:rsidRPr="007B2205">
              <w:rPr>
                <w:rFonts w:ascii="Arial" w:hAnsi="Arial" w:cs="Arial"/>
                <w:b/>
                <w:bCs/>
                <w:color w:val="323E48"/>
                <w:sz w:val="18"/>
                <w:szCs w:val="18"/>
              </w:rPr>
              <w:fldChar w:fldCharType="separate"/>
            </w:r>
            <w:r w:rsidR="007B2205" w:rsidRPr="007B2205">
              <w:rPr>
                <w:rFonts w:ascii="Arial" w:hAnsi="Arial" w:cs="Arial"/>
                <w:b/>
                <w:bCs/>
                <w:noProof/>
                <w:color w:val="323E48"/>
                <w:sz w:val="18"/>
                <w:szCs w:val="18"/>
              </w:rPr>
              <w:t>2</w:t>
            </w:r>
            <w:r w:rsidR="007B2205" w:rsidRPr="007B2205">
              <w:rPr>
                <w:rFonts w:ascii="Arial" w:hAnsi="Arial" w:cs="Arial"/>
                <w:b/>
                <w:bCs/>
                <w:color w:val="323E48"/>
                <w:sz w:val="18"/>
                <w:szCs w:val="18"/>
              </w:rPr>
              <w:fldChar w:fldCharType="end"/>
            </w:r>
            <w:r w:rsidR="007B2205" w:rsidRPr="007B2205">
              <w:rPr>
                <w:rFonts w:ascii="Arial" w:hAnsi="Arial" w:cs="Arial"/>
                <w:color w:val="323E48"/>
                <w:sz w:val="18"/>
                <w:szCs w:val="18"/>
              </w:rPr>
              <w:t xml:space="preserve"> of </w:t>
            </w:r>
            <w:r w:rsidR="007B2205" w:rsidRPr="007B2205">
              <w:rPr>
                <w:rFonts w:ascii="Arial" w:hAnsi="Arial" w:cs="Arial"/>
                <w:b/>
                <w:bCs/>
                <w:color w:val="323E48"/>
                <w:sz w:val="18"/>
                <w:szCs w:val="18"/>
              </w:rPr>
              <w:fldChar w:fldCharType="begin"/>
            </w:r>
            <w:r w:rsidR="007B2205" w:rsidRPr="007B2205">
              <w:rPr>
                <w:rFonts w:ascii="Arial" w:hAnsi="Arial" w:cs="Arial"/>
                <w:b/>
                <w:bCs/>
                <w:color w:val="323E48"/>
                <w:sz w:val="18"/>
                <w:szCs w:val="18"/>
              </w:rPr>
              <w:instrText xml:space="preserve"> NUMPAGES  </w:instrText>
            </w:r>
            <w:r w:rsidR="007B2205" w:rsidRPr="007B2205">
              <w:rPr>
                <w:rFonts w:ascii="Arial" w:hAnsi="Arial" w:cs="Arial"/>
                <w:b/>
                <w:bCs/>
                <w:color w:val="323E48"/>
                <w:sz w:val="18"/>
                <w:szCs w:val="18"/>
              </w:rPr>
              <w:fldChar w:fldCharType="separate"/>
            </w:r>
            <w:r w:rsidR="007B2205" w:rsidRPr="007B2205">
              <w:rPr>
                <w:rFonts w:ascii="Arial" w:hAnsi="Arial" w:cs="Arial"/>
                <w:b/>
                <w:bCs/>
                <w:noProof/>
                <w:color w:val="323E48"/>
                <w:sz w:val="18"/>
                <w:szCs w:val="18"/>
              </w:rPr>
              <w:t>2</w:t>
            </w:r>
            <w:r w:rsidR="007B2205" w:rsidRPr="007B2205">
              <w:rPr>
                <w:rFonts w:ascii="Arial" w:hAnsi="Arial" w:cs="Arial"/>
                <w:b/>
                <w:bCs/>
                <w:color w:val="323E48"/>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8B90" w14:textId="4F210DFB" w:rsidR="003A4358" w:rsidRPr="003A4358" w:rsidRDefault="003A4358">
    <w:pPr>
      <w:pStyle w:val="Footer"/>
      <w:jc w:val="right"/>
      <w:rPr>
        <w:sz w:val="18"/>
        <w:szCs w:val="18"/>
      </w:rPr>
    </w:pPr>
  </w:p>
  <w:p w14:paraId="29543073" w14:textId="77777777" w:rsidR="00B42E90" w:rsidRDefault="00B4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5A95" w14:textId="77777777" w:rsidR="000861F0" w:rsidRDefault="000861F0" w:rsidP="00047FBE">
      <w:pPr>
        <w:spacing w:after="0" w:line="240" w:lineRule="auto"/>
      </w:pPr>
      <w:r>
        <w:separator/>
      </w:r>
    </w:p>
  </w:footnote>
  <w:footnote w:type="continuationSeparator" w:id="0">
    <w:p w14:paraId="56DBDB6B" w14:textId="77777777" w:rsidR="000861F0" w:rsidRDefault="000861F0" w:rsidP="00047FBE">
      <w:pPr>
        <w:spacing w:after="0" w:line="240" w:lineRule="auto"/>
      </w:pPr>
      <w:r>
        <w:continuationSeparator/>
      </w:r>
    </w:p>
  </w:footnote>
  <w:footnote w:type="continuationNotice" w:id="1">
    <w:p w14:paraId="289F6C59" w14:textId="77777777" w:rsidR="000861F0" w:rsidRDefault="00086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B7C2" w14:textId="1D49CC82" w:rsidR="00047FBE" w:rsidRDefault="00047FBE" w:rsidP="00047FBE">
    <w:pPr>
      <w:pStyle w:val="Header"/>
    </w:pPr>
    <w:r>
      <w:rPr>
        <w:noProof/>
      </w:rPr>
      <w:drawing>
        <wp:anchor distT="0" distB="0" distL="114300" distR="114300" simplePos="0" relativeHeight="251657216" behindDoc="1" locked="0" layoutInCell="1" allowOverlap="1" wp14:anchorId="0E6B61E4" wp14:editId="52D41899">
          <wp:simplePos x="0" y="0"/>
          <wp:positionH relativeFrom="column">
            <wp:posOffset>4747895</wp:posOffset>
          </wp:positionH>
          <wp:positionV relativeFrom="paragraph">
            <wp:posOffset>-327854</wp:posOffset>
          </wp:positionV>
          <wp:extent cx="1904365" cy="1079500"/>
          <wp:effectExtent l="0" t="0" r="63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943"/>
    <w:multiLevelType w:val="hybridMultilevel"/>
    <w:tmpl w:val="16F6456C"/>
    <w:lvl w:ilvl="0" w:tplc="B18E191E">
      <w:numFmt w:val="bullet"/>
      <w:lvlText w:val="-"/>
      <w:lvlJc w:val="left"/>
      <w:pPr>
        <w:ind w:left="528" w:hanging="360"/>
      </w:pPr>
      <w:rPr>
        <w:rFonts w:ascii="Verdana" w:eastAsia="Trebuchet MS" w:hAnsi="Verdana" w:cs="Trebuchet MS" w:hint="default"/>
      </w:rPr>
    </w:lvl>
    <w:lvl w:ilvl="1" w:tplc="0C090003" w:tentative="1">
      <w:start w:val="1"/>
      <w:numFmt w:val="bullet"/>
      <w:lvlText w:val="o"/>
      <w:lvlJc w:val="left"/>
      <w:pPr>
        <w:ind w:left="1248" w:hanging="360"/>
      </w:pPr>
      <w:rPr>
        <w:rFonts w:ascii="Courier New" w:hAnsi="Courier New" w:cs="Courier New" w:hint="default"/>
      </w:rPr>
    </w:lvl>
    <w:lvl w:ilvl="2" w:tplc="0C090005" w:tentative="1">
      <w:start w:val="1"/>
      <w:numFmt w:val="bullet"/>
      <w:lvlText w:val=""/>
      <w:lvlJc w:val="left"/>
      <w:pPr>
        <w:ind w:left="1968" w:hanging="360"/>
      </w:pPr>
      <w:rPr>
        <w:rFonts w:ascii="Wingdings" w:hAnsi="Wingdings" w:hint="default"/>
      </w:rPr>
    </w:lvl>
    <w:lvl w:ilvl="3" w:tplc="0C090001" w:tentative="1">
      <w:start w:val="1"/>
      <w:numFmt w:val="bullet"/>
      <w:lvlText w:val=""/>
      <w:lvlJc w:val="left"/>
      <w:pPr>
        <w:ind w:left="2688" w:hanging="360"/>
      </w:pPr>
      <w:rPr>
        <w:rFonts w:ascii="Symbol" w:hAnsi="Symbol" w:hint="default"/>
      </w:rPr>
    </w:lvl>
    <w:lvl w:ilvl="4" w:tplc="0C090003" w:tentative="1">
      <w:start w:val="1"/>
      <w:numFmt w:val="bullet"/>
      <w:lvlText w:val="o"/>
      <w:lvlJc w:val="left"/>
      <w:pPr>
        <w:ind w:left="3408" w:hanging="360"/>
      </w:pPr>
      <w:rPr>
        <w:rFonts w:ascii="Courier New" w:hAnsi="Courier New" w:cs="Courier New" w:hint="default"/>
      </w:rPr>
    </w:lvl>
    <w:lvl w:ilvl="5" w:tplc="0C090005" w:tentative="1">
      <w:start w:val="1"/>
      <w:numFmt w:val="bullet"/>
      <w:lvlText w:val=""/>
      <w:lvlJc w:val="left"/>
      <w:pPr>
        <w:ind w:left="4128" w:hanging="360"/>
      </w:pPr>
      <w:rPr>
        <w:rFonts w:ascii="Wingdings" w:hAnsi="Wingdings" w:hint="default"/>
      </w:rPr>
    </w:lvl>
    <w:lvl w:ilvl="6" w:tplc="0C090001" w:tentative="1">
      <w:start w:val="1"/>
      <w:numFmt w:val="bullet"/>
      <w:lvlText w:val=""/>
      <w:lvlJc w:val="left"/>
      <w:pPr>
        <w:ind w:left="4848" w:hanging="360"/>
      </w:pPr>
      <w:rPr>
        <w:rFonts w:ascii="Symbol" w:hAnsi="Symbol" w:hint="default"/>
      </w:rPr>
    </w:lvl>
    <w:lvl w:ilvl="7" w:tplc="0C090003" w:tentative="1">
      <w:start w:val="1"/>
      <w:numFmt w:val="bullet"/>
      <w:lvlText w:val="o"/>
      <w:lvlJc w:val="left"/>
      <w:pPr>
        <w:ind w:left="5568" w:hanging="360"/>
      </w:pPr>
      <w:rPr>
        <w:rFonts w:ascii="Courier New" w:hAnsi="Courier New" w:cs="Courier New" w:hint="default"/>
      </w:rPr>
    </w:lvl>
    <w:lvl w:ilvl="8" w:tplc="0C090005" w:tentative="1">
      <w:start w:val="1"/>
      <w:numFmt w:val="bullet"/>
      <w:lvlText w:val=""/>
      <w:lvlJc w:val="left"/>
      <w:pPr>
        <w:ind w:left="6288" w:hanging="360"/>
      </w:pPr>
      <w:rPr>
        <w:rFonts w:ascii="Wingdings" w:hAnsi="Wingdings" w:hint="default"/>
      </w:rPr>
    </w:lvl>
  </w:abstractNum>
  <w:abstractNum w:abstractNumId="1" w15:restartNumberingAfterBreak="0">
    <w:nsid w:val="06883C9A"/>
    <w:multiLevelType w:val="multilevel"/>
    <w:tmpl w:val="2EB42B5A"/>
    <w:lvl w:ilvl="0">
      <w:start w:val="1"/>
      <w:numFmt w:val="decimal"/>
      <w:lvlText w:val="%1."/>
      <w:lvlJc w:val="left"/>
      <w:pPr>
        <w:ind w:left="360" w:hanging="360"/>
      </w:pPr>
      <w:rPr>
        <w:b/>
        <w:color w:val="AA1E2E"/>
      </w:rPr>
    </w:lvl>
    <w:lvl w:ilvl="1">
      <w:start w:val="1"/>
      <w:numFmt w:val="bullet"/>
      <w:pStyle w:val="BP1"/>
      <w:lvlText w:val=""/>
      <w:lvlJc w:val="left"/>
      <w:pPr>
        <w:ind w:left="792" w:hanging="432"/>
      </w:pPr>
      <w:rPr>
        <w:rFonts w:ascii="Symbol" w:hAnsi="Symbol" w:hint="default"/>
        <w:color w:val="AA1E2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23FD1"/>
    <w:multiLevelType w:val="hybridMultilevel"/>
    <w:tmpl w:val="BEFA17D6"/>
    <w:lvl w:ilvl="0" w:tplc="9A182DB4">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C6A7B"/>
    <w:multiLevelType w:val="multilevel"/>
    <w:tmpl w:val="3C7240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353333"/>
        <w:sz w:val="22"/>
      </w:rPr>
    </w:lvl>
    <w:lvl w:ilvl="2">
      <w:start w:val="1"/>
      <w:numFmt w:val="decimal"/>
      <w:isLgl/>
      <w:lvlText w:val="%1.%2.%3"/>
      <w:lvlJc w:val="left"/>
      <w:pPr>
        <w:ind w:left="1800" w:hanging="720"/>
      </w:pPr>
      <w:rPr>
        <w:rFonts w:hint="default"/>
        <w:b w:val="0"/>
        <w:color w:val="353333"/>
        <w:sz w:val="22"/>
      </w:rPr>
    </w:lvl>
    <w:lvl w:ilvl="3">
      <w:start w:val="1"/>
      <w:numFmt w:val="decimal"/>
      <w:isLgl/>
      <w:lvlText w:val="%1.%2.%3.%4"/>
      <w:lvlJc w:val="left"/>
      <w:pPr>
        <w:ind w:left="2160" w:hanging="720"/>
      </w:pPr>
      <w:rPr>
        <w:rFonts w:hint="default"/>
        <w:b w:val="0"/>
        <w:color w:val="353333"/>
        <w:sz w:val="22"/>
      </w:rPr>
    </w:lvl>
    <w:lvl w:ilvl="4">
      <w:start w:val="1"/>
      <w:numFmt w:val="decimal"/>
      <w:isLgl/>
      <w:lvlText w:val="%1.%2.%3.%4.%5"/>
      <w:lvlJc w:val="left"/>
      <w:pPr>
        <w:ind w:left="2880" w:hanging="1080"/>
      </w:pPr>
      <w:rPr>
        <w:rFonts w:hint="default"/>
        <w:b w:val="0"/>
        <w:color w:val="353333"/>
        <w:sz w:val="22"/>
      </w:rPr>
    </w:lvl>
    <w:lvl w:ilvl="5">
      <w:start w:val="1"/>
      <w:numFmt w:val="decimal"/>
      <w:isLgl/>
      <w:lvlText w:val="%1.%2.%3.%4.%5.%6"/>
      <w:lvlJc w:val="left"/>
      <w:pPr>
        <w:ind w:left="3240" w:hanging="1080"/>
      </w:pPr>
      <w:rPr>
        <w:rFonts w:hint="default"/>
        <w:b w:val="0"/>
        <w:color w:val="353333"/>
        <w:sz w:val="22"/>
      </w:rPr>
    </w:lvl>
    <w:lvl w:ilvl="6">
      <w:start w:val="1"/>
      <w:numFmt w:val="decimal"/>
      <w:isLgl/>
      <w:lvlText w:val="%1.%2.%3.%4.%5.%6.%7"/>
      <w:lvlJc w:val="left"/>
      <w:pPr>
        <w:ind w:left="3960" w:hanging="1440"/>
      </w:pPr>
      <w:rPr>
        <w:rFonts w:hint="default"/>
        <w:b w:val="0"/>
        <w:color w:val="353333"/>
        <w:sz w:val="22"/>
      </w:rPr>
    </w:lvl>
    <w:lvl w:ilvl="7">
      <w:start w:val="1"/>
      <w:numFmt w:val="decimal"/>
      <w:isLgl/>
      <w:lvlText w:val="%1.%2.%3.%4.%5.%6.%7.%8"/>
      <w:lvlJc w:val="left"/>
      <w:pPr>
        <w:ind w:left="4320" w:hanging="1440"/>
      </w:pPr>
      <w:rPr>
        <w:rFonts w:hint="default"/>
        <w:b w:val="0"/>
        <w:color w:val="353333"/>
        <w:sz w:val="22"/>
      </w:rPr>
    </w:lvl>
    <w:lvl w:ilvl="8">
      <w:start w:val="1"/>
      <w:numFmt w:val="decimal"/>
      <w:isLgl/>
      <w:lvlText w:val="%1.%2.%3.%4.%5.%6.%7.%8.%9"/>
      <w:lvlJc w:val="left"/>
      <w:pPr>
        <w:ind w:left="5040" w:hanging="1800"/>
      </w:pPr>
      <w:rPr>
        <w:rFonts w:hint="default"/>
        <w:b w:val="0"/>
        <w:color w:val="353333"/>
        <w:sz w:val="22"/>
      </w:rPr>
    </w:lvl>
  </w:abstractNum>
  <w:abstractNum w:abstractNumId="4" w15:restartNumberingAfterBreak="0">
    <w:nsid w:val="2DF96856"/>
    <w:multiLevelType w:val="hybridMultilevel"/>
    <w:tmpl w:val="E2020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2F7F9F"/>
    <w:multiLevelType w:val="hybridMultilevel"/>
    <w:tmpl w:val="9182C398"/>
    <w:lvl w:ilvl="0" w:tplc="13C2493C">
      <w:start w:val="1"/>
      <w:numFmt w:val="bullet"/>
      <w:lvlText w:val=""/>
      <w:lvlJc w:val="left"/>
      <w:pPr>
        <w:ind w:left="360" w:hanging="360"/>
      </w:pPr>
      <w:rPr>
        <w:rFonts w:ascii="Symbol" w:hAnsi="Symbol" w:hint="default"/>
        <w:i w:val="0"/>
        <w:iCs/>
        <w:color w:val="A40016"/>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8A45BED"/>
    <w:multiLevelType w:val="hybridMultilevel"/>
    <w:tmpl w:val="864234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C655D15"/>
    <w:multiLevelType w:val="multilevel"/>
    <w:tmpl w:val="26C81366"/>
    <w:lvl w:ilvl="0">
      <w:start w:val="1"/>
      <w:numFmt w:val="decimal"/>
      <w:lvlText w:val="%1."/>
      <w:lvlJc w:val="left"/>
      <w:pPr>
        <w:ind w:left="360" w:hanging="360"/>
      </w:pPr>
      <w:rPr>
        <w:b/>
        <w:color w:val="AA1E2E"/>
      </w:rPr>
    </w:lvl>
    <w:lvl w:ilvl="1">
      <w:start w:val="1"/>
      <w:numFmt w:val="decimal"/>
      <w:lvlText w:val="%1.%2."/>
      <w:lvlJc w:val="left"/>
      <w:pPr>
        <w:ind w:left="792" w:hanging="432"/>
      </w:pPr>
      <w:rPr>
        <w:color w:val="AA1E2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5644F1"/>
    <w:multiLevelType w:val="hybridMultilevel"/>
    <w:tmpl w:val="F7F89126"/>
    <w:lvl w:ilvl="0" w:tplc="FC6A2B2E">
      <w:start w:val="1"/>
      <w:numFmt w:val="decimal"/>
      <w:pStyle w:val="BP2"/>
      <w:lvlText w:val="%1.1"/>
      <w:lvlJc w:val="left"/>
      <w:pPr>
        <w:ind w:left="360" w:hanging="360"/>
      </w:pPr>
      <w:rPr>
        <w:rFonts w:hint="default"/>
        <w:b/>
        <w:i w:val="0"/>
        <w:iCs/>
        <w:color w:val="A40016"/>
        <w:sz w:val="17"/>
        <w:szCs w:val="17"/>
      </w:rPr>
    </w:lvl>
    <w:lvl w:ilvl="1" w:tplc="04090003">
      <w:start w:val="1"/>
      <w:numFmt w:val="bullet"/>
      <w:pStyle w:val="BP2"/>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86115BB"/>
    <w:multiLevelType w:val="hybridMultilevel"/>
    <w:tmpl w:val="48F2E8B8"/>
    <w:lvl w:ilvl="0" w:tplc="F724D260">
      <w:start w:val="1"/>
      <w:numFmt w:val="lowerLetter"/>
      <w:pStyle w:val="BP3"/>
      <w:lvlText w:val="%1)"/>
      <w:lvlJc w:val="left"/>
      <w:pPr>
        <w:ind w:left="1656" w:hanging="360"/>
      </w:pPr>
      <w:rPr>
        <w:rFonts w:hint="default"/>
        <w:b/>
        <w:i w:val="0"/>
        <w:color w:val="A40016"/>
        <w:sz w:val="16"/>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71482BF0"/>
    <w:multiLevelType w:val="multilevel"/>
    <w:tmpl w:val="26C81366"/>
    <w:lvl w:ilvl="0">
      <w:start w:val="1"/>
      <w:numFmt w:val="decimal"/>
      <w:lvlText w:val="%1."/>
      <w:lvlJc w:val="left"/>
      <w:pPr>
        <w:ind w:left="360" w:hanging="360"/>
      </w:pPr>
      <w:rPr>
        <w:b/>
        <w:color w:val="AA1E2E"/>
      </w:rPr>
    </w:lvl>
    <w:lvl w:ilvl="1">
      <w:start w:val="1"/>
      <w:numFmt w:val="decimal"/>
      <w:lvlText w:val="%1.%2."/>
      <w:lvlJc w:val="left"/>
      <w:pPr>
        <w:ind w:left="792" w:hanging="432"/>
      </w:pPr>
      <w:rPr>
        <w:color w:val="AA1E2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640B97"/>
    <w:multiLevelType w:val="multilevel"/>
    <w:tmpl w:val="749E76D0"/>
    <w:lvl w:ilvl="0">
      <w:numFmt w:val="bullet"/>
      <w:lvlText w:val="·"/>
      <w:lvlJc w:val="left"/>
      <w:pPr>
        <w:ind w:left="739" w:hanging="360"/>
      </w:pPr>
      <w:rPr>
        <w:rFonts w:ascii="Trebuchet MS" w:eastAsia="Trebuchet MS" w:hAnsi="Trebuchet MS" w:cs="Trebuchet MS" w:hint="default"/>
        <w:b/>
        <w:color w:val="AA1E2E"/>
      </w:rPr>
    </w:lvl>
    <w:lvl w:ilvl="1">
      <w:start w:val="1"/>
      <w:numFmt w:val="bullet"/>
      <w:lvlText w:val=""/>
      <w:lvlJc w:val="left"/>
      <w:pPr>
        <w:ind w:left="792" w:hanging="432"/>
      </w:pPr>
      <w:rPr>
        <w:rFonts w:ascii="Symbol" w:hAnsi="Symbol" w:hint="default"/>
        <w:color w:val="AA1E2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9"/>
  </w:num>
  <w:num w:numId="4">
    <w:abstractNumId w:val="8"/>
    <w:lvlOverride w:ilvl="0">
      <w:startOverride w:val="1"/>
    </w:lvlOverride>
  </w:num>
  <w:num w:numId="5">
    <w:abstractNumId w:val="8"/>
  </w:num>
  <w:num w:numId="6">
    <w:abstractNumId w:val="8"/>
    <w:lvlOverride w:ilvl="0">
      <w:startOverride w:val="1"/>
    </w:lvlOverride>
  </w:num>
  <w:num w:numId="7">
    <w:abstractNumId w:val="6"/>
  </w:num>
  <w:num w:numId="8">
    <w:abstractNumId w:val="8"/>
  </w:num>
  <w:num w:numId="9">
    <w:abstractNumId w:val="10"/>
  </w:num>
  <w:num w:numId="10">
    <w:abstractNumId w:val="3"/>
  </w:num>
  <w:num w:numId="11">
    <w:abstractNumId w:val="2"/>
  </w:num>
  <w:num w:numId="12">
    <w:abstractNumId w:val="1"/>
  </w:num>
  <w:num w:numId="13">
    <w:abstractNumId w:val="0"/>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3"/>
    <w:rsid w:val="00007624"/>
    <w:rsid w:val="000151D2"/>
    <w:rsid w:val="0003421A"/>
    <w:rsid w:val="00047FBE"/>
    <w:rsid w:val="00082497"/>
    <w:rsid w:val="000861F0"/>
    <w:rsid w:val="00087AD6"/>
    <w:rsid w:val="000B417E"/>
    <w:rsid w:val="000C5ADC"/>
    <w:rsid w:val="000D053E"/>
    <w:rsid w:val="00111651"/>
    <w:rsid w:val="00113C66"/>
    <w:rsid w:val="00117638"/>
    <w:rsid w:val="00122C76"/>
    <w:rsid w:val="00147A52"/>
    <w:rsid w:val="00157B43"/>
    <w:rsid w:val="00197ACB"/>
    <w:rsid w:val="001A0EF8"/>
    <w:rsid w:val="001A2A0D"/>
    <w:rsid w:val="001A3B93"/>
    <w:rsid w:val="001B4108"/>
    <w:rsid w:val="001B480E"/>
    <w:rsid w:val="001D0597"/>
    <w:rsid w:val="002002D4"/>
    <w:rsid w:val="00201F02"/>
    <w:rsid w:val="00211843"/>
    <w:rsid w:val="00237A9E"/>
    <w:rsid w:val="002442E3"/>
    <w:rsid w:val="00294875"/>
    <w:rsid w:val="002B5822"/>
    <w:rsid w:val="002D3587"/>
    <w:rsid w:val="002E5620"/>
    <w:rsid w:val="002F2556"/>
    <w:rsid w:val="003029D6"/>
    <w:rsid w:val="003138B4"/>
    <w:rsid w:val="00357458"/>
    <w:rsid w:val="00375BD4"/>
    <w:rsid w:val="00394527"/>
    <w:rsid w:val="003A3442"/>
    <w:rsid w:val="003A4358"/>
    <w:rsid w:val="003E671B"/>
    <w:rsid w:val="003F0D42"/>
    <w:rsid w:val="003F2EC4"/>
    <w:rsid w:val="003F4C34"/>
    <w:rsid w:val="00426D8C"/>
    <w:rsid w:val="004923A7"/>
    <w:rsid w:val="004C0F90"/>
    <w:rsid w:val="004F4F60"/>
    <w:rsid w:val="005018A9"/>
    <w:rsid w:val="005155F7"/>
    <w:rsid w:val="00592E40"/>
    <w:rsid w:val="005970AA"/>
    <w:rsid w:val="005A0138"/>
    <w:rsid w:val="005A6393"/>
    <w:rsid w:val="005D7146"/>
    <w:rsid w:val="00646D68"/>
    <w:rsid w:val="00656EFE"/>
    <w:rsid w:val="006C20C4"/>
    <w:rsid w:val="006C51C2"/>
    <w:rsid w:val="006C561A"/>
    <w:rsid w:val="006F249B"/>
    <w:rsid w:val="007340EA"/>
    <w:rsid w:val="00753ABF"/>
    <w:rsid w:val="00753BD1"/>
    <w:rsid w:val="00761FB8"/>
    <w:rsid w:val="00766D17"/>
    <w:rsid w:val="00780285"/>
    <w:rsid w:val="007B2205"/>
    <w:rsid w:val="00800AE0"/>
    <w:rsid w:val="008146FD"/>
    <w:rsid w:val="00833242"/>
    <w:rsid w:val="00851F7D"/>
    <w:rsid w:val="00875B7D"/>
    <w:rsid w:val="0088733E"/>
    <w:rsid w:val="008A2BF7"/>
    <w:rsid w:val="008B053C"/>
    <w:rsid w:val="008B198C"/>
    <w:rsid w:val="008D28D0"/>
    <w:rsid w:val="008E115D"/>
    <w:rsid w:val="008F6613"/>
    <w:rsid w:val="009124FC"/>
    <w:rsid w:val="009173A4"/>
    <w:rsid w:val="0095633B"/>
    <w:rsid w:val="00960B6D"/>
    <w:rsid w:val="00973BB5"/>
    <w:rsid w:val="009C0B00"/>
    <w:rsid w:val="009F1D5A"/>
    <w:rsid w:val="00A11184"/>
    <w:rsid w:val="00A177E6"/>
    <w:rsid w:val="00A44B7C"/>
    <w:rsid w:val="00A60135"/>
    <w:rsid w:val="00A63AA3"/>
    <w:rsid w:val="00A72065"/>
    <w:rsid w:val="00A7562F"/>
    <w:rsid w:val="00A803E2"/>
    <w:rsid w:val="00A8135E"/>
    <w:rsid w:val="00A837B0"/>
    <w:rsid w:val="00A905E3"/>
    <w:rsid w:val="00AA5CA3"/>
    <w:rsid w:val="00AB5AFC"/>
    <w:rsid w:val="00AC5E7E"/>
    <w:rsid w:val="00AE11F3"/>
    <w:rsid w:val="00B03E9A"/>
    <w:rsid w:val="00B35B8E"/>
    <w:rsid w:val="00B42E90"/>
    <w:rsid w:val="00B44CB3"/>
    <w:rsid w:val="00B4731C"/>
    <w:rsid w:val="00B6067A"/>
    <w:rsid w:val="00B819C9"/>
    <w:rsid w:val="00B868A5"/>
    <w:rsid w:val="00BC5D74"/>
    <w:rsid w:val="00BE2A07"/>
    <w:rsid w:val="00BE3E95"/>
    <w:rsid w:val="00C010DA"/>
    <w:rsid w:val="00C15363"/>
    <w:rsid w:val="00C17D32"/>
    <w:rsid w:val="00C5393A"/>
    <w:rsid w:val="00C80552"/>
    <w:rsid w:val="00C91C37"/>
    <w:rsid w:val="00CA05D9"/>
    <w:rsid w:val="00CA3F41"/>
    <w:rsid w:val="00CC436F"/>
    <w:rsid w:val="00CC69DC"/>
    <w:rsid w:val="00D247B8"/>
    <w:rsid w:val="00D314FE"/>
    <w:rsid w:val="00D33658"/>
    <w:rsid w:val="00D4648B"/>
    <w:rsid w:val="00D47738"/>
    <w:rsid w:val="00D524F2"/>
    <w:rsid w:val="00D5608E"/>
    <w:rsid w:val="00D56597"/>
    <w:rsid w:val="00D80AD2"/>
    <w:rsid w:val="00D80D26"/>
    <w:rsid w:val="00DA0CAF"/>
    <w:rsid w:val="00DB1AEA"/>
    <w:rsid w:val="00DC2FA9"/>
    <w:rsid w:val="00DD1192"/>
    <w:rsid w:val="00DE0C89"/>
    <w:rsid w:val="00DE51A3"/>
    <w:rsid w:val="00E32B72"/>
    <w:rsid w:val="00E47503"/>
    <w:rsid w:val="00E55989"/>
    <w:rsid w:val="00E63E85"/>
    <w:rsid w:val="00E65746"/>
    <w:rsid w:val="00E70B7C"/>
    <w:rsid w:val="00E837EB"/>
    <w:rsid w:val="00EA6BCF"/>
    <w:rsid w:val="00EB0C88"/>
    <w:rsid w:val="00EC2C8D"/>
    <w:rsid w:val="00EE28F8"/>
    <w:rsid w:val="00EF5A7C"/>
    <w:rsid w:val="00F046D2"/>
    <w:rsid w:val="00F1008B"/>
    <w:rsid w:val="00F204AE"/>
    <w:rsid w:val="00F26B49"/>
    <w:rsid w:val="00F32748"/>
    <w:rsid w:val="00F418AE"/>
    <w:rsid w:val="00F52C82"/>
    <w:rsid w:val="00F6273E"/>
    <w:rsid w:val="00F677CB"/>
    <w:rsid w:val="00F844F2"/>
    <w:rsid w:val="00FA4F4B"/>
    <w:rsid w:val="00FB36B5"/>
    <w:rsid w:val="00FD22D8"/>
    <w:rsid w:val="00FD69D1"/>
    <w:rsid w:val="00FE5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6D06"/>
  <w15:chartTrackingRefBased/>
  <w15:docId w15:val="{D6D78269-64F5-4EA9-9A9D-E3179448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FBE"/>
  </w:style>
  <w:style w:type="paragraph" w:styleId="Footer">
    <w:name w:val="footer"/>
    <w:basedOn w:val="Normal"/>
    <w:link w:val="FooterChar"/>
    <w:uiPriority w:val="99"/>
    <w:unhideWhenUsed/>
    <w:rsid w:val="00047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FBE"/>
  </w:style>
  <w:style w:type="paragraph" w:customStyle="1" w:styleId="H3AFTER">
    <w:name w:val="H3 (AFTER)"/>
    <w:basedOn w:val="Normal"/>
    <w:qFormat/>
    <w:rsid w:val="00C010DA"/>
    <w:pPr>
      <w:spacing w:before="100" w:after="360" w:line="240" w:lineRule="auto"/>
    </w:pPr>
    <w:rPr>
      <w:rFonts w:ascii="Arial" w:eastAsiaTheme="majorEastAsia" w:hAnsi="Arial" w:cs="Arial"/>
      <w:color w:val="323E48"/>
      <w:sz w:val="32"/>
      <w:szCs w:val="32"/>
      <w:lang w:val="en-US"/>
    </w:rPr>
  </w:style>
  <w:style w:type="paragraph" w:customStyle="1" w:styleId="Q1">
    <w:name w:val="Q1"/>
    <w:qFormat/>
    <w:rsid w:val="00047FBE"/>
    <w:pPr>
      <w:spacing w:after="840"/>
      <w:jc w:val="right"/>
    </w:pPr>
    <w:rPr>
      <w:rFonts w:ascii="Arial" w:eastAsiaTheme="majorEastAsia" w:hAnsi="Arial" w:cs="Arial"/>
      <w:b/>
      <w:color w:val="323E48"/>
      <w:sz w:val="36"/>
      <w:szCs w:val="36"/>
      <w:lang w:val="en-US"/>
    </w:rPr>
  </w:style>
  <w:style w:type="paragraph" w:customStyle="1" w:styleId="H1BEFORE">
    <w:name w:val="H1 (BEFORE)"/>
    <w:basedOn w:val="Normal"/>
    <w:qFormat/>
    <w:rsid w:val="00047FBE"/>
    <w:pPr>
      <w:spacing w:before="100" w:after="100" w:line="240" w:lineRule="auto"/>
    </w:pPr>
    <w:rPr>
      <w:rFonts w:ascii="Georgia" w:hAnsi="Georgia" w:cs="Arial"/>
      <w:b/>
      <w:bCs/>
      <w:noProof/>
      <w:color w:val="A40016"/>
      <w:sz w:val="52"/>
      <w:szCs w:val="70"/>
      <w:lang w:val="en-US" w:bidi="hi-IN"/>
    </w:rPr>
  </w:style>
  <w:style w:type="paragraph" w:customStyle="1" w:styleId="B1">
    <w:name w:val="B1"/>
    <w:qFormat/>
    <w:rsid w:val="00CA3F41"/>
    <w:pPr>
      <w:spacing w:after="120" w:line="240" w:lineRule="atLeast"/>
    </w:pPr>
    <w:rPr>
      <w:rFonts w:ascii="Arial" w:eastAsiaTheme="minorEastAsia" w:hAnsi="Arial" w:cs="Arial"/>
      <w:color w:val="323E48"/>
      <w:sz w:val="19"/>
      <w:szCs w:val="18"/>
      <w:lang w:val="en-US" w:bidi="hi-IN"/>
    </w:rPr>
  </w:style>
  <w:style w:type="paragraph" w:customStyle="1" w:styleId="H4">
    <w:name w:val="H4"/>
    <w:next w:val="Normal"/>
    <w:qFormat/>
    <w:rsid w:val="00C010DA"/>
    <w:pPr>
      <w:kinsoku w:val="0"/>
      <w:overflowPunct w:val="0"/>
      <w:spacing w:before="240" w:after="60" w:line="240" w:lineRule="auto"/>
    </w:pPr>
    <w:rPr>
      <w:rFonts w:ascii="Arial" w:eastAsiaTheme="majorEastAsia" w:hAnsi="Arial" w:cs="Arial"/>
      <w:b/>
      <w:bCs/>
      <w:caps/>
      <w:color w:val="AA182C"/>
      <w:sz w:val="20"/>
      <w:szCs w:val="28"/>
      <w:lang w:val="en-US"/>
    </w:rPr>
  </w:style>
  <w:style w:type="paragraph" w:customStyle="1" w:styleId="H5">
    <w:name w:val="H5"/>
    <w:next w:val="Normal"/>
    <w:qFormat/>
    <w:rsid w:val="00C010DA"/>
    <w:pPr>
      <w:spacing w:after="0"/>
    </w:pPr>
    <w:rPr>
      <w:rFonts w:ascii="Arial" w:eastAsiaTheme="minorEastAsia" w:hAnsi="Arial" w:cs="Arial"/>
      <w:b/>
      <w:bCs/>
      <w:color w:val="323E48"/>
      <w:sz w:val="20"/>
      <w:szCs w:val="18"/>
      <w:lang w:val="en-US" w:bidi="hi-IN"/>
    </w:rPr>
  </w:style>
  <w:style w:type="paragraph" w:customStyle="1" w:styleId="BP1">
    <w:name w:val="BP1"/>
    <w:basedOn w:val="B1"/>
    <w:qFormat/>
    <w:rsid w:val="00294875"/>
    <w:pPr>
      <w:numPr>
        <w:ilvl w:val="1"/>
        <w:numId w:val="12"/>
      </w:numPr>
      <w:ind w:left="1134" w:hanging="283"/>
    </w:pPr>
  </w:style>
  <w:style w:type="paragraph" w:customStyle="1" w:styleId="BP2">
    <w:name w:val="BP2"/>
    <w:basedOn w:val="BP1"/>
    <w:qFormat/>
    <w:rsid w:val="00CA3F41"/>
    <w:pPr>
      <w:numPr>
        <w:numId w:val="5"/>
      </w:numPr>
    </w:pPr>
  </w:style>
  <w:style w:type="paragraph" w:customStyle="1" w:styleId="BP3">
    <w:name w:val="BP3"/>
    <w:qFormat/>
    <w:rsid w:val="009F1D5A"/>
    <w:pPr>
      <w:numPr>
        <w:numId w:val="3"/>
      </w:numPr>
      <w:ind w:left="1224"/>
    </w:pPr>
    <w:rPr>
      <w:rFonts w:ascii="Arial" w:eastAsiaTheme="minorEastAsia" w:hAnsi="Arial" w:cs="Arial"/>
      <w:color w:val="323E48"/>
      <w:sz w:val="19"/>
      <w:szCs w:val="18"/>
      <w:lang w:val="en-US" w:bidi="hi-IN"/>
    </w:rPr>
  </w:style>
  <w:style w:type="paragraph" w:customStyle="1" w:styleId="H6">
    <w:name w:val="H6"/>
    <w:basedOn w:val="H4"/>
    <w:qFormat/>
    <w:rsid w:val="00C010DA"/>
    <w:rPr>
      <w:caps w:val="0"/>
      <w:sz w:val="19"/>
      <w:szCs w:val="19"/>
      <w:lang w:bidi="hi-IN"/>
    </w:rPr>
  </w:style>
  <w:style w:type="paragraph" w:customStyle="1" w:styleId="B2">
    <w:name w:val="B2"/>
    <w:basedOn w:val="B1"/>
    <w:qFormat/>
    <w:rsid w:val="00C010DA"/>
    <w:rPr>
      <w:b/>
      <w:bCs/>
    </w:rPr>
  </w:style>
  <w:style w:type="character" w:customStyle="1" w:styleId="B1Bold">
    <w:name w:val="B1 Bold"/>
    <w:basedOn w:val="DefaultParagraphFont"/>
    <w:uiPriority w:val="1"/>
    <w:qFormat/>
    <w:rsid w:val="00C010DA"/>
    <w:rPr>
      <w:rFonts w:ascii="Arial" w:eastAsiaTheme="minorEastAsia" w:hAnsi="Arial" w:cs="Arial"/>
      <w:b/>
      <w:color w:val="323E48"/>
      <w:sz w:val="18"/>
      <w:szCs w:val="18"/>
      <w:lang w:val="en-US" w:bidi="hi-IN"/>
    </w:rPr>
  </w:style>
  <w:style w:type="paragraph" w:customStyle="1" w:styleId="H2AFTER">
    <w:name w:val="(H2 AFTER)"/>
    <w:qFormat/>
    <w:rsid w:val="00973BB5"/>
    <w:pPr>
      <w:spacing w:before="100" w:line="240" w:lineRule="auto"/>
    </w:pPr>
    <w:rPr>
      <w:rFonts w:ascii="Georgia" w:hAnsi="Georgia" w:cs="Arial"/>
      <w:b/>
      <w:bCs/>
      <w:noProof/>
      <w:color w:val="323E48"/>
      <w:sz w:val="32"/>
      <w:szCs w:val="70"/>
      <w:lang w:val="en-US" w:bidi="hi-IN"/>
    </w:rPr>
  </w:style>
  <w:style w:type="paragraph" w:customStyle="1" w:styleId="TH2">
    <w:name w:val="TH2"/>
    <w:qFormat/>
    <w:rsid w:val="00FD22D8"/>
    <w:pPr>
      <w:kinsoku w:val="0"/>
      <w:overflowPunct w:val="0"/>
      <w:spacing w:before="64"/>
      <w:ind w:left="80"/>
    </w:pPr>
    <w:rPr>
      <w:rFonts w:ascii="Arial" w:eastAsiaTheme="majorEastAsia" w:hAnsi="Arial" w:cs="Arial"/>
      <w:b/>
      <w:color w:val="FFFFFF"/>
      <w:sz w:val="16"/>
      <w:szCs w:val="16"/>
      <w:lang w:val="en-US" w:bidi="hi-IN"/>
    </w:rPr>
  </w:style>
  <w:style w:type="paragraph" w:customStyle="1" w:styleId="TB1">
    <w:name w:val="TB1"/>
    <w:qFormat/>
    <w:rsid w:val="00780285"/>
    <w:pPr>
      <w:kinsoku w:val="0"/>
      <w:overflowPunct w:val="0"/>
      <w:spacing w:after="0"/>
    </w:pPr>
    <w:rPr>
      <w:rFonts w:ascii="Arial" w:eastAsiaTheme="minorEastAsia" w:hAnsi="Arial" w:cs="Arial"/>
      <w:color w:val="323E48"/>
      <w:spacing w:val="-2"/>
      <w:sz w:val="20"/>
      <w:szCs w:val="16"/>
      <w:lang w:val="en-US" w:bidi="hi-IN"/>
    </w:rPr>
  </w:style>
  <w:style w:type="paragraph" w:customStyle="1" w:styleId="TB2">
    <w:name w:val="TB2"/>
    <w:basedOn w:val="TB1"/>
    <w:qFormat/>
    <w:rsid w:val="00FD22D8"/>
    <w:rPr>
      <w:i/>
    </w:rPr>
  </w:style>
  <w:style w:type="paragraph" w:customStyle="1" w:styleId="TH1">
    <w:name w:val="TH1"/>
    <w:qFormat/>
    <w:rsid w:val="008B053C"/>
    <w:pPr>
      <w:kinsoku w:val="0"/>
      <w:overflowPunct w:val="0"/>
      <w:spacing w:before="97"/>
      <w:ind w:left="79"/>
    </w:pPr>
    <w:rPr>
      <w:rFonts w:ascii="Arial" w:eastAsiaTheme="minorEastAsia" w:hAnsi="Arial" w:cs="Arial"/>
      <w:b/>
      <w:bCs/>
      <w:color w:val="FFFFFF" w:themeColor="background1"/>
      <w:sz w:val="20"/>
      <w:szCs w:val="20"/>
      <w:lang w:val="en-US" w:bidi="hi-IN"/>
    </w:rPr>
  </w:style>
  <w:style w:type="paragraph" w:customStyle="1" w:styleId="TH3">
    <w:name w:val="TH3"/>
    <w:basedOn w:val="Normal"/>
    <w:qFormat/>
    <w:rsid w:val="00FD22D8"/>
    <w:pPr>
      <w:kinsoku w:val="0"/>
      <w:overflowPunct w:val="0"/>
    </w:pPr>
    <w:rPr>
      <w:rFonts w:ascii="Arial" w:eastAsiaTheme="minorEastAsia" w:hAnsi="Arial" w:cs="Arial"/>
      <w:b/>
      <w:bCs/>
      <w:color w:val="323E48"/>
      <w:spacing w:val="-5"/>
      <w:sz w:val="18"/>
      <w:szCs w:val="18"/>
      <w:lang w:val="en-US" w:bidi="hi-IN"/>
    </w:rPr>
  </w:style>
  <w:style w:type="paragraph" w:customStyle="1" w:styleId="TH4">
    <w:name w:val="TH4"/>
    <w:basedOn w:val="TH3"/>
    <w:qFormat/>
    <w:rsid w:val="00FD22D8"/>
    <w:pPr>
      <w:spacing w:before="70"/>
      <w:ind w:left="80"/>
    </w:pPr>
    <w:rPr>
      <w:bCs w:val="0"/>
      <w:sz w:val="16"/>
      <w:szCs w:val="16"/>
    </w:rPr>
  </w:style>
  <w:style w:type="table" w:styleId="TableGrid">
    <w:name w:val="Table Grid"/>
    <w:basedOn w:val="TableNormal"/>
    <w:uiPriority w:val="39"/>
    <w:rsid w:val="00FD2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BEFORE">
    <w:name w:val="H3 (BEFORE)"/>
    <w:basedOn w:val="H3AFTER"/>
    <w:qFormat/>
    <w:rsid w:val="006C561A"/>
    <w:pPr>
      <w:spacing w:after="100"/>
    </w:pPr>
  </w:style>
  <w:style w:type="character" w:styleId="Strong">
    <w:name w:val="Strong"/>
    <w:basedOn w:val="DefaultParagraphFont"/>
    <w:uiPriority w:val="22"/>
    <w:qFormat/>
    <w:rsid w:val="00CA3F41"/>
    <w:rPr>
      <w:b/>
      <w:bCs/>
    </w:rPr>
  </w:style>
  <w:style w:type="paragraph" w:customStyle="1" w:styleId="BP2-last">
    <w:name w:val="BP2-last"/>
    <w:basedOn w:val="BP2"/>
    <w:next w:val="B1"/>
    <w:qFormat/>
    <w:rsid w:val="00875B7D"/>
    <w:pPr>
      <w:spacing w:after="320"/>
      <w:ind w:left="357" w:hanging="357"/>
    </w:pPr>
  </w:style>
  <w:style w:type="paragraph" w:styleId="ListParagraph">
    <w:name w:val="List Paragraph"/>
    <w:basedOn w:val="Normal"/>
    <w:uiPriority w:val="34"/>
    <w:qFormat/>
    <w:rsid w:val="00A44B7C"/>
    <w:pPr>
      <w:spacing w:after="0" w:line="240" w:lineRule="auto"/>
      <w:ind w:left="720"/>
      <w:contextualSpacing/>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6FD"/>
    <w:rPr>
      <w:rFonts w:ascii="Segoe UI" w:hAnsi="Segoe UI" w:cs="Segoe UI"/>
      <w:sz w:val="18"/>
      <w:szCs w:val="18"/>
    </w:rPr>
  </w:style>
  <w:style w:type="paragraph" w:customStyle="1" w:styleId="Default">
    <w:name w:val="Default"/>
    <w:rsid w:val="003138B4"/>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E70B7C"/>
    <w:rPr>
      <w:sz w:val="16"/>
      <w:szCs w:val="16"/>
    </w:rPr>
  </w:style>
  <w:style w:type="paragraph" w:styleId="CommentText">
    <w:name w:val="annotation text"/>
    <w:basedOn w:val="Normal"/>
    <w:link w:val="CommentTextChar"/>
    <w:uiPriority w:val="99"/>
    <w:semiHidden/>
    <w:unhideWhenUsed/>
    <w:rsid w:val="00E70B7C"/>
    <w:pPr>
      <w:spacing w:line="240" w:lineRule="auto"/>
    </w:pPr>
    <w:rPr>
      <w:sz w:val="20"/>
      <w:szCs w:val="20"/>
    </w:rPr>
  </w:style>
  <w:style w:type="character" w:customStyle="1" w:styleId="CommentTextChar">
    <w:name w:val="Comment Text Char"/>
    <w:basedOn w:val="DefaultParagraphFont"/>
    <w:link w:val="CommentText"/>
    <w:uiPriority w:val="99"/>
    <w:semiHidden/>
    <w:rsid w:val="00E70B7C"/>
    <w:rPr>
      <w:sz w:val="20"/>
      <w:szCs w:val="20"/>
    </w:rPr>
  </w:style>
  <w:style w:type="paragraph" w:styleId="CommentSubject">
    <w:name w:val="annotation subject"/>
    <w:basedOn w:val="CommentText"/>
    <w:next w:val="CommentText"/>
    <w:link w:val="CommentSubjectChar"/>
    <w:uiPriority w:val="99"/>
    <w:semiHidden/>
    <w:unhideWhenUsed/>
    <w:rsid w:val="00E70B7C"/>
    <w:rPr>
      <w:b/>
      <w:bCs/>
    </w:rPr>
  </w:style>
  <w:style w:type="character" w:customStyle="1" w:styleId="CommentSubjectChar">
    <w:name w:val="Comment Subject Char"/>
    <w:basedOn w:val="CommentTextChar"/>
    <w:link w:val="CommentSubject"/>
    <w:uiPriority w:val="99"/>
    <w:semiHidden/>
    <w:rsid w:val="00E70B7C"/>
    <w:rPr>
      <w:b/>
      <w:bCs/>
      <w:sz w:val="20"/>
      <w:szCs w:val="20"/>
    </w:rPr>
  </w:style>
  <w:style w:type="paragraph" w:styleId="Revision">
    <w:name w:val="Revision"/>
    <w:hidden/>
    <w:uiPriority w:val="99"/>
    <w:semiHidden/>
    <w:rsid w:val="00AA5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5.austlii.edu.au/au/legis/vic/consol_act/ha201786/s3.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5.austlii.edu.au/au/legis/vic/consol_act/ha201786/s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5.austlii.edu.au/au/legis/vic/consol_act/ha201786/s3.html"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5.austlii.edu.au/au/legis/vic/consol_act/ha201786/s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FF8ED32D1D24A89D379B4464E2B2E" ma:contentTypeVersion="18" ma:contentTypeDescription="Create a new document." ma:contentTypeScope="" ma:versionID="6c931382fc72ba9e526efa54cd4c831f">
  <xsd:schema xmlns:xsd="http://www.w3.org/2001/XMLSchema" xmlns:xs="http://www.w3.org/2001/XMLSchema" xmlns:p="http://schemas.microsoft.com/office/2006/metadata/properties" xmlns:ns3="a5f32de4-e402-4188-b034-e71ca7d22e54" xmlns:ns4="fbb4c689-a609-4243-8d35-16bcc709e8fc" xmlns:ns5="61b6353f-fa77-428b-9e25-736613fbd7f1" targetNamespace="http://schemas.microsoft.com/office/2006/metadata/properties" ma:root="true" ma:fieldsID="669940643fa739252959dc877f4c49f3" ns3:_="" ns4:_="" ns5:_="">
    <xsd:import namespace="a5f32de4-e402-4188-b034-e71ca7d22e54"/>
    <xsd:import namespace="fbb4c689-a609-4243-8d35-16bcc709e8fc"/>
    <xsd:import namespace="61b6353f-fa77-428b-9e25-736613fbd7f1"/>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4c689-a609-4243-8d35-16bcc709e8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6353f-fa77-428b-9e25-736613fbd7f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BB8-B88D-43F2-A4C2-A1976B2CD9CB}">
  <ds:schemaRefs>
    <ds:schemaRef ds:uri="http://schemas.microsoft.com/sharepoint/events"/>
  </ds:schemaRefs>
</ds:datastoreItem>
</file>

<file path=customXml/itemProps2.xml><?xml version="1.0" encoding="utf-8"?>
<ds:datastoreItem xmlns:ds="http://schemas.openxmlformats.org/officeDocument/2006/customXml" ds:itemID="{B10B6DD1-F59B-4F2A-9BDB-0855C4882FC0}">
  <ds:schemaRefs>
    <ds:schemaRef ds:uri="http://schemas.microsoft.com/sharepoint/v3/contenttype/forms"/>
  </ds:schemaRefs>
</ds:datastoreItem>
</file>

<file path=customXml/itemProps3.xml><?xml version="1.0" encoding="utf-8"?>
<ds:datastoreItem xmlns:ds="http://schemas.openxmlformats.org/officeDocument/2006/customXml" ds:itemID="{0D29914E-E5CA-4778-B3B8-8DBD58C94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fbb4c689-a609-4243-8d35-16bcc709e8fc"/>
    <ds:schemaRef ds:uri="61b6353f-fa77-428b-9e25-736613fbd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4EA74-269B-4EA4-A06E-BC7D7C66649A}">
  <ds:schemaRefs>
    <ds:schemaRef ds:uri="Microsoft.SharePoint.Taxonomy.ContentTypeSync"/>
  </ds:schemaRefs>
</ds:datastoreItem>
</file>

<file path=customXml/itemProps5.xml><?xml version="1.0" encoding="utf-8"?>
<ds:datastoreItem xmlns:ds="http://schemas.openxmlformats.org/officeDocument/2006/customXml" ds:itemID="{DEB4DD62-6E23-421D-BF11-5CEA5ED02DD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06A482C-857C-477E-A631-7B607207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HCV_HCPapersTemplate</vt:lpstr>
    </vt:vector>
  </TitlesOfParts>
  <Company/>
  <LinksUpToDate>false</LinksUpToDate>
  <CharactersWithSpaces>7138</CharactersWithSpaces>
  <SharedDoc>false</SharedDoc>
  <HLinks>
    <vt:vector size="24" baseType="variant">
      <vt:variant>
        <vt:i4>7536700</vt:i4>
      </vt:variant>
      <vt:variant>
        <vt:i4>9</vt:i4>
      </vt:variant>
      <vt:variant>
        <vt:i4>0</vt:i4>
      </vt:variant>
      <vt:variant>
        <vt:i4>5</vt:i4>
      </vt:variant>
      <vt:variant>
        <vt:lpwstr>http://www5.austlii.edu.au/au/legis/vic/consol_act/ha201786/s3.html</vt:lpwstr>
      </vt:variant>
      <vt:variant>
        <vt:lpwstr>heritage_register</vt:lpwstr>
      </vt:variant>
      <vt:variant>
        <vt:i4>721012</vt:i4>
      </vt:variant>
      <vt:variant>
        <vt:i4>6</vt:i4>
      </vt:variant>
      <vt:variant>
        <vt:i4>0</vt:i4>
      </vt:variant>
      <vt:variant>
        <vt:i4>5</vt:i4>
      </vt:variant>
      <vt:variant>
        <vt:lpwstr>http://www5.austlii.edu.au/au/legis/vic/consol_act/ha201786/s3.html</vt:lpwstr>
      </vt:variant>
      <vt:variant>
        <vt:lpwstr>object</vt:lpwstr>
      </vt:variant>
      <vt:variant>
        <vt:i4>7798787</vt:i4>
      </vt:variant>
      <vt:variant>
        <vt:i4>3</vt:i4>
      </vt:variant>
      <vt:variant>
        <vt:i4>0</vt:i4>
      </vt:variant>
      <vt:variant>
        <vt:i4>5</vt:i4>
      </vt:variant>
      <vt:variant>
        <vt:lpwstr>http://www5.austlii.edu.au/au/legis/vic/consol_act/ha201786/s3.html</vt:lpwstr>
      </vt:variant>
      <vt:variant>
        <vt:lpwstr>place</vt:lpwstr>
      </vt:variant>
      <vt:variant>
        <vt:i4>7340055</vt:i4>
      </vt:variant>
      <vt:variant>
        <vt:i4>0</vt:i4>
      </vt:variant>
      <vt:variant>
        <vt:i4>0</vt:i4>
      </vt:variant>
      <vt:variant>
        <vt:i4>5</vt:i4>
      </vt:variant>
      <vt:variant>
        <vt:lpwstr>http://www5.austlii.edu.au/au/legis/vic/consol_act/ha201786/s3.html</vt:lpwstr>
      </vt:variant>
      <vt:variant>
        <vt:lpwstr>conservation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HCV_HCPapersTemplate</dc:title>
  <dc:subject/>
  <dc:creator>Michelle Glynn (DELWP)</dc:creator>
  <cp:keywords/>
  <dc:description/>
  <cp:lastModifiedBy>Bethany</cp:lastModifiedBy>
  <cp:revision>17</cp:revision>
  <cp:lastPrinted>2019-03-06T22:53:00Z</cp:lastPrinted>
  <dcterms:created xsi:type="dcterms:W3CDTF">2020-09-04T01:54:00Z</dcterms:created>
  <dcterms:modified xsi:type="dcterms:W3CDTF">2020-11-04T02:25:00Z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0x0101006F7FF8ED32D1D24A89D379B4464E2B2E</vt:lpwstr>
  </property>
  <property fmtid="{D5CDD505-2E9C-101B-9397-08002B2CF9AE}" pid="3" name="MSIP_Label_4257e2ab-f512-40e2-9c9a-c64247360765_Enabled">
    <vt:lpwstr>true</vt:lpwstr>
  </property>
  <property fmtid="{D5CDD505-2E9C-101B-9397-08002B2CF9AE}" pid="4" name="MSIP_Label_4257e2ab-f512-40e2-9c9a-c64247360765_SetDate">
    <vt:lpwstr>2020-07-16T07:06:34Z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937a9d6f-416e-4cc9-a256-5260b55758af</vt:lpwstr>
  </property>
  <property fmtid="{D5CDD505-2E9C-101B-9397-08002B2CF9AE}" pid="9" name="MSIP_Label_4257e2ab-f512-40e2-9c9a-c64247360765_ContentBits">
    <vt:lpwstr>2</vt:lpwstr>
  </property>
</Properties>
</file>