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58388A">
      <w:pPr>
        <w:pStyle w:val="B1"/>
      </w:pPr>
      <w:bookmarkStart w:id="0" w:name="_GoBack"/>
      <w:bookmarkEnd w:id="0"/>
      <w: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147A8820"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0FB5A622" w14:textId="77777777" w:rsidR="00412709" w:rsidRDefault="00412709" w:rsidP="00412709">
      <w:pPr>
        <w:pStyle w:val="H2AFTER"/>
      </w:pPr>
    </w:p>
    <w:p w14:paraId="01887269" w14:textId="1DA7DA1F" w:rsidR="00412709" w:rsidRPr="00A164C4" w:rsidRDefault="00BE3642" w:rsidP="00412709">
      <w:pPr>
        <w:pStyle w:val="H2AFTER"/>
      </w:pPr>
      <w:bookmarkStart w:id="1" w:name="_Hlk15471891"/>
      <w:r w:rsidRPr="00BE3642">
        <w:t>ANZ Bank, 37</w:t>
      </w:r>
      <w:r w:rsidR="0058388A">
        <w:t>6</w:t>
      </w:r>
      <w:r w:rsidRPr="00BE3642">
        <w:t>-39</w:t>
      </w:r>
      <w:r w:rsidR="0058388A">
        <w:t>2</w:t>
      </w:r>
      <w:r w:rsidRPr="00BE3642">
        <w:t xml:space="preserve"> Collins Street, Melbourne </w:t>
      </w:r>
      <w:bookmarkEnd w:id="1"/>
      <w:r w:rsidR="00447EB6">
        <w:t>(H</w:t>
      </w:r>
      <w:r w:rsidR="00CB0110">
        <w:t>0034</w:t>
      </w:r>
      <w:r w:rsidR="006E66E0">
        <w:t>)</w:t>
      </w:r>
    </w:p>
    <w:p w14:paraId="6A99D1FA" w14:textId="75272600" w:rsidR="00412709" w:rsidRDefault="00412709" w:rsidP="00412709">
      <w:pPr>
        <w:pStyle w:val="H3AFTER"/>
        <w:rPr>
          <w:sz w:val="24"/>
        </w:rPr>
      </w:pPr>
    </w:p>
    <w:p w14:paraId="2271B004" w14:textId="351B63F8" w:rsidR="00412709" w:rsidRPr="009D3214" w:rsidRDefault="00412709" w:rsidP="00412709">
      <w:pPr>
        <w:pStyle w:val="H3AFTER"/>
        <w:rPr>
          <w:sz w:val="24"/>
        </w:rPr>
      </w:pPr>
      <w:r w:rsidRPr="00412709">
        <w:rPr>
          <w:b/>
          <w:sz w:val="24"/>
        </w:rPr>
        <w:t xml:space="preserve">Hearing </w:t>
      </w:r>
      <w:r>
        <w:rPr>
          <w:sz w:val="24"/>
        </w:rPr>
        <w:t xml:space="preserve">– </w:t>
      </w:r>
      <w:r w:rsidR="00614C72">
        <w:rPr>
          <w:sz w:val="24"/>
        </w:rPr>
        <w:t>22</w:t>
      </w:r>
      <w:r w:rsidR="003E09CC">
        <w:rPr>
          <w:sz w:val="24"/>
        </w:rPr>
        <w:t xml:space="preserve"> July</w:t>
      </w:r>
      <w:r>
        <w:rPr>
          <w:sz w:val="24"/>
        </w:rPr>
        <w:t xml:space="preserve"> 201</w:t>
      </w:r>
      <w:r w:rsidR="00D425EA">
        <w:rPr>
          <w:sz w:val="24"/>
        </w:rPr>
        <w:t>9</w:t>
      </w:r>
      <w:r>
        <w:rPr>
          <w:sz w:val="24"/>
        </w:rPr>
        <w:t xml:space="preserve">                </w:t>
      </w:r>
      <w:r w:rsidR="00614C72">
        <w:rPr>
          <w:sz w:val="24"/>
        </w:rPr>
        <w:t xml:space="preserve"> </w:t>
      </w:r>
      <w:r w:rsidR="00614C72">
        <w:rPr>
          <w:sz w:val="24"/>
        </w:rPr>
        <w:tab/>
      </w:r>
      <w:r>
        <w:rPr>
          <w:sz w:val="24"/>
        </w:rPr>
        <w:t xml:space="preserve">                                                            </w:t>
      </w:r>
      <w:r w:rsidRPr="00412709">
        <w:rPr>
          <w:b/>
          <w:sz w:val="24"/>
        </w:rPr>
        <w:t>Members</w:t>
      </w:r>
      <w:r w:rsidRPr="00412709">
        <w:rPr>
          <w:sz w:val="24"/>
        </w:rPr>
        <w:t xml:space="preserve"> – M</w:t>
      </w:r>
      <w:r w:rsidR="00C91E1A">
        <w:rPr>
          <w:sz w:val="24"/>
        </w:rPr>
        <w:t xml:space="preserve">s </w:t>
      </w:r>
      <w:r w:rsidR="003E09CC">
        <w:rPr>
          <w:sz w:val="24"/>
        </w:rPr>
        <w:t>Jennifer Moles</w:t>
      </w:r>
      <w:r w:rsidRPr="00412709">
        <w:rPr>
          <w:sz w:val="24"/>
        </w:rPr>
        <w:t xml:space="preserve"> (Chair), </w:t>
      </w:r>
      <w:r w:rsidR="003E09CC">
        <w:rPr>
          <w:sz w:val="24"/>
        </w:rPr>
        <w:t>Ms Natica Schmeder</w:t>
      </w:r>
      <w:r w:rsidR="00CD3FB3">
        <w:rPr>
          <w:sz w:val="24"/>
        </w:rPr>
        <w:t>,</w:t>
      </w:r>
      <w:r w:rsidR="00CD3FB3" w:rsidRPr="00412709">
        <w:rPr>
          <w:sz w:val="24"/>
        </w:rPr>
        <w:t xml:space="preserve"> </w:t>
      </w:r>
      <w:r w:rsidR="00B329BB">
        <w:rPr>
          <w:sz w:val="24"/>
        </w:rPr>
        <w:t>Dr</w:t>
      </w:r>
      <w:r w:rsidR="00C91E1A">
        <w:rPr>
          <w:sz w:val="24"/>
        </w:rPr>
        <w:t xml:space="preserve"> </w:t>
      </w:r>
      <w:r w:rsidR="003E09CC">
        <w:rPr>
          <w:sz w:val="24"/>
        </w:rPr>
        <w:t>Karen Murphy</w:t>
      </w:r>
    </w:p>
    <w:p w14:paraId="2A1947A1" w14:textId="26C6E3FE" w:rsidR="00412709" w:rsidRDefault="00E342EC" w:rsidP="00412709">
      <w:pPr>
        <w:pStyle w:val="B1"/>
      </w:pPr>
      <w:r>
        <w:rPr>
          <w:noProof/>
          <w:lang w:val="en-AU" w:eastAsia="en-AU" w:bidi="ar-SA"/>
        </w:rPr>
        <mc:AlternateContent>
          <mc:Choice Requires="wpg">
            <w:drawing>
              <wp:anchor distT="0" distB="0" distL="114300" distR="114300" simplePos="0" relativeHeight="251658241"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B4F55" id="Group 4" o:spid="_x0000_s1026" style="position:absolute;margin-left:69.75pt;margin-top:6.1pt;width:454.95pt;height:5.95pt;z-index:-251658239;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5DC3E9BA" w:rsidR="00412709" w:rsidRPr="00E342EC" w:rsidRDefault="00412709" w:rsidP="00412709">
      <w:pPr>
        <w:pStyle w:val="H5"/>
        <w:rPr>
          <w:rStyle w:val="B1Bold"/>
          <w:b/>
          <w:sz w:val="22"/>
          <w:szCs w:val="22"/>
        </w:rPr>
      </w:pPr>
      <w:r w:rsidRPr="00E342EC">
        <w:rPr>
          <w:rStyle w:val="B1Bold"/>
          <w:b/>
          <w:sz w:val="22"/>
          <w:szCs w:val="22"/>
        </w:rPr>
        <w:t>DETERMINATION OF THE HERITAGE COUNCIL</w:t>
      </w:r>
    </w:p>
    <w:p w14:paraId="208F8B3D" w14:textId="425FC4E7" w:rsidR="00412709" w:rsidRPr="009C3930" w:rsidRDefault="00412709" w:rsidP="00412709">
      <w:pPr>
        <w:rPr>
          <w:sz w:val="22"/>
          <w:szCs w:val="22"/>
          <w:lang w:val="en-US" w:bidi="hi-IN"/>
        </w:rPr>
      </w:pPr>
    </w:p>
    <w:p w14:paraId="728A77C4" w14:textId="339A6F57" w:rsidR="00412709" w:rsidRPr="009A3C37" w:rsidRDefault="3AB8B1F8" w:rsidP="3AB8B1F8">
      <w:pPr>
        <w:rPr>
          <w:rFonts w:ascii="Arial" w:hAnsi="Arial" w:cs="Arial"/>
          <w:color w:val="323E48"/>
          <w:sz w:val="22"/>
          <w:szCs w:val="22"/>
          <w:lang w:val="en-US" w:bidi="hi-IN"/>
        </w:rPr>
      </w:pPr>
      <w:r w:rsidRPr="009A3C37">
        <w:rPr>
          <w:rFonts w:ascii="Arial" w:hAnsi="Arial" w:cs="Arial"/>
          <w:color w:val="323E48"/>
          <w:sz w:val="22"/>
          <w:szCs w:val="22"/>
          <w:lang w:val="en-US" w:bidi="hi-IN"/>
        </w:rPr>
        <w:t>After considering all submissions received in relation to the permit review, and after conducting a hearing</w:t>
      </w:r>
      <w:r w:rsidR="005B25DA" w:rsidRPr="009A3C37">
        <w:rPr>
          <w:rFonts w:ascii="Arial" w:hAnsi="Arial" w:cs="Arial"/>
          <w:color w:val="323E48"/>
          <w:sz w:val="22"/>
          <w:szCs w:val="22"/>
          <w:lang w:val="en-US" w:bidi="hi-IN"/>
        </w:rPr>
        <w:t xml:space="preserve">, </w:t>
      </w:r>
      <w:r w:rsidRPr="009A3C37">
        <w:rPr>
          <w:rFonts w:ascii="Arial" w:hAnsi="Arial" w:cs="Arial"/>
          <w:color w:val="323E48"/>
          <w:sz w:val="22"/>
          <w:szCs w:val="22"/>
          <w:lang w:val="en-US" w:bidi="hi-IN"/>
        </w:rPr>
        <w:t xml:space="preserve">the Heritage Council has determined </w:t>
      </w:r>
      <w:r w:rsidR="005B25DA" w:rsidRPr="009A3C37">
        <w:rPr>
          <w:rFonts w:ascii="Arial" w:hAnsi="Arial" w:cs="Arial"/>
          <w:color w:val="323E48"/>
          <w:sz w:val="22"/>
          <w:szCs w:val="22"/>
          <w:lang w:val="en-US" w:bidi="hi-IN"/>
        </w:rPr>
        <w:t xml:space="preserve">pursuant to section </w:t>
      </w:r>
      <w:r w:rsidR="00567900" w:rsidRPr="009A3C37">
        <w:rPr>
          <w:rFonts w:ascii="Arial" w:hAnsi="Arial" w:cs="Arial"/>
          <w:color w:val="323E48"/>
          <w:sz w:val="22"/>
          <w:szCs w:val="22"/>
          <w:lang w:val="en-US" w:bidi="hi-IN"/>
        </w:rPr>
        <w:t>108(7</w:t>
      </w:r>
      <w:r w:rsidR="00712773" w:rsidRPr="009A3C37">
        <w:rPr>
          <w:rFonts w:ascii="Arial" w:hAnsi="Arial" w:cs="Arial"/>
          <w:color w:val="323E48"/>
          <w:sz w:val="22"/>
          <w:szCs w:val="22"/>
          <w:lang w:val="en-US" w:bidi="hi-IN"/>
        </w:rPr>
        <w:t>)</w:t>
      </w:r>
      <w:r w:rsidR="001D4C46" w:rsidRPr="009A3C37">
        <w:rPr>
          <w:rFonts w:ascii="Arial" w:hAnsi="Arial" w:cs="Arial"/>
          <w:color w:val="323E48"/>
          <w:sz w:val="22"/>
          <w:szCs w:val="22"/>
          <w:lang w:val="en-US" w:bidi="hi-IN"/>
        </w:rPr>
        <w:t>(b)</w:t>
      </w:r>
      <w:r w:rsidR="005B25DA" w:rsidRPr="009A3C37">
        <w:rPr>
          <w:rFonts w:ascii="Arial" w:hAnsi="Arial" w:cs="Arial"/>
          <w:color w:val="323E48"/>
          <w:sz w:val="22"/>
          <w:szCs w:val="22"/>
          <w:lang w:val="en-US" w:bidi="hi-IN"/>
        </w:rPr>
        <w:t xml:space="preserve"> </w:t>
      </w:r>
      <w:r w:rsidR="00053C49" w:rsidRPr="009A3C37">
        <w:rPr>
          <w:rFonts w:ascii="Arial" w:hAnsi="Arial" w:cs="Arial"/>
          <w:color w:val="323E48"/>
          <w:sz w:val="22"/>
          <w:szCs w:val="22"/>
          <w:lang w:val="en-US" w:bidi="hi-IN"/>
        </w:rPr>
        <w:t xml:space="preserve">of the </w:t>
      </w:r>
      <w:r w:rsidR="00053C49" w:rsidRPr="009A3C37">
        <w:rPr>
          <w:rFonts w:ascii="Arial" w:hAnsi="Arial" w:cs="Arial"/>
          <w:i/>
          <w:color w:val="323E48"/>
          <w:sz w:val="22"/>
          <w:szCs w:val="22"/>
          <w:lang w:val="en-US" w:bidi="hi-IN"/>
        </w:rPr>
        <w:t>Heritage Act 2017</w:t>
      </w:r>
      <w:r w:rsidR="00053C49" w:rsidRPr="009A3C37">
        <w:rPr>
          <w:rFonts w:ascii="Arial" w:hAnsi="Arial" w:cs="Arial"/>
          <w:color w:val="323E48"/>
          <w:sz w:val="22"/>
          <w:szCs w:val="22"/>
          <w:lang w:val="en-US" w:bidi="hi-IN"/>
        </w:rPr>
        <w:t xml:space="preserve"> </w:t>
      </w:r>
      <w:r w:rsidRPr="009A3C37">
        <w:rPr>
          <w:rFonts w:ascii="Arial" w:hAnsi="Arial" w:cs="Arial"/>
          <w:color w:val="323E48"/>
          <w:sz w:val="22"/>
          <w:szCs w:val="22"/>
          <w:lang w:val="en-US" w:bidi="hi-IN"/>
        </w:rPr>
        <w:t>to</w:t>
      </w:r>
      <w:r w:rsidR="009B0E99" w:rsidRPr="009A3C37">
        <w:rPr>
          <w:rFonts w:ascii="Arial" w:hAnsi="Arial" w:cs="Arial"/>
          <w:color w:val="323E48"/>
          <w:sz w:val="22"/>
          <w:szCs w:val="22"/>
          <w:lang w:val="en-US" w:bidi="hi-IN"/>
        </w:rPr>
        <w:t xml:space="preserve"> vary the determination under review and</w:t>
      </w:r>
      <w:r w:rsidRPr="009A3C37">
        <w:rPr>
          <w:rFonts w:ascii="Arial" w:hAnsi="Arial" w:cs="Arial"/>
          <w:color w:val="323E48"/>
          <w:sz w:val="22"/>
          <w:szCs w:val="22"/>
          <w:lang w:val="en-US" w:bidi="hi-IN"/>
        </w:rPr>
        <w:t xml:space="preserve"> </w:t>
      </w:r>
      <w:bookmarkStart w:id="2" w:name="_Hlk12612903"/>
      <w:r w:rsidR="00641CD3" w:rsidRPr="009A3C37">
        <w:rPr>
          <w:rFonts w:ascii="Arial" w:hAnsi="Arial" w:cs="Arial"/>
          <w:color w:val="323E48"/>
          <w:sz w:val="22"/>
          <w:szCs w:val="22"/>
          <w:lang w:val="en-US" w:bidi="hi-IN"/>
        </w:rPr>
        <w:t>ame</w:t>
      </w:r>
      <w:r w:rsidR="009B0E99" w:rsidRPr="009A3C37">
        <w:rPr>
          <w:rFonts w:ascii="Arial" w:hAnsi="Arial" w:cs="Arial"/>
          <w:color w:val="323E48"/>
          <w:sz w:val="22"/>
          <w:szCs w:val="22"/>
          <w:lang w:val="en-US" w:bidi="hi-IN"/>
        </w:rPr>
        <w:t>nd</w:t>
      </w:r>
      <w:r w:rsidR="007A3A1D" w:rsidRPr="009A3C37">
        <w:rPr>
          <w:rFonts w:ascii="Arial" w:hAnsi="Arial" w:cs="Arial"/>
          <w:color w:val="323E48"/>
          <w:sz w:val="22"/>
          <w:szCs w:val="22"/>
          <w:lang w:val="en-US" w:bidi="hi-IN"/>
        </w:rPr>
        <w:t xml:space="preserve"> </w:t>
      </w:r>
      <w:r w:rsidR="00B26C32" w:rsidRPr="009A3C37">
        <w:rPr>
          <w:rFonts w:ascii="Arial" w:hAnsi="Arial" w:cs="Arial"/>
          <w:color w:val="323E48"/>
          <w:sz w:val="22"/>
          <w:szCs w:val="22"/>
          <w:lang w:val="en-US" w:bidi="hi-IN"/>
        </w:rPr>
        <w:t>a condition (</w:t>
      </w:r>
      <w:r w:rsidR="007A3A1D" w:rsidRPr="009A3C37">
        <w:rPr>
          <w:rFonts w:ascii="Arial" w:hAnsi="Arial" w:cs="Arial"/>
          <w:color w:val="323E48"/>
          <w:sz w:val="22"/>
          <w:szCs w:val="22"/>
          <w:lang w:val="en-US" w:bidi="hi-IN"/>
        </w:rPr>
        <w:t>Condition 2</w:t>
      </w:r>
      <w:r w:rsidR="00C01D19" w:rsidRPr="009A3C37">
        <w:rPr>
          <w:rFonts w:ascii="Arial" w:hAnsi="Arial" w:cs="Arial"/>
          <w:color w:val="323E48"/>
          <w:sz w:val="22"/>
          <w:szCs w:val="22"/>
          <w:lang w:val="en-US" w:bidi="hi-IN"/>
        </w:rPr>
        <w:t>)</w:t>
      </w:r>
      <w:r w:rsidR="007A3A1D" w:rsidRPr="009A3C37">
        <w:rPr>
          <w:rFonts w:ascii="Arial" w:hAnsi="Arial" w:cs="Arial"/>
          <w:color w:val="323E48"/>
          <w:sz w:val="22"/>
          <w:szCs w:val="22"/>
          <w:lang w:val="en-US" w:bidi="hi-IN"/>
        </w:rPr>
        <w:t xml:space="preserve"> of </w:t>
      </w:r>
      <w:r w:rsidRPr="009A3C37">
        <w:rPr>
          <w:rFonts w:ascii="Arial" w:hAnsi="Arial" w:cs="Arial"/>
          <w:color w:val="323E48"/>
          <w:sz w:val="22"/>
          <w:szCs w:val="22"/>
          <w:lang w:val="en-US" w:bidi="hi-IN"/>
        </w:rPr>
        <w:t xml:space="preserve">Permit </w:t>
      </w:r>
      <w:r w:rsidR="00EA4A64" w:rsidRPr="009A3C37">
        <w:rPr>
          <w:rFonts w:ascii="Arial" w:hAnsi="Arial" w:cs="Arial"/>
          <w:color w:val="323E48"/>
          <w:sz w:val="22"/>
          <w:szCs w:val="22"/>
          <w:lang w:val="en-US" w:bidi="hi-IN"/>
        </w:rPr>
        <w:t xml:space="preserve">No. </w:t>
      </w:r>
      <w:bookmarkStart w:id="3" w:name="_Hlk16770543"/>
      <w:r w:rsidRPr="009A3C37">
        <w:rPr>
          <w:rFonts w:ascii="Arial" w:hAnsi="Arial" w:cs="Arial"/>
          <w:color w:val="323E48"/>
          <w:sz w:val="22"/>
          <w:szCs w:val="22"/>
          <w:lang w:val="en-US" w:bidi="hi-IN"/>
        </w:rPr>
        <w:t>P</w:t>
      </w:r>
      <w:r w:rsidR="00933491" w:rsidRPr="009A3C37">
        <w:rPr>
          <w:rFonts w:ascii="Arial" w:hAnsi="Arial" w:cs="Arial"/>
          <w:color w:val="323E48"/>
          <w:sz w:val="22"/>
          <w:szCs w:val="22"/>
          <w:lang w:val="en-US" w:bidi="hi-IN"/>
        </w:rPr>
        <w:t>29660</w:t>
      </w:r>
      <w:bookmarkEnd w:id="3"/>
      <w:r w:rsidRPr="009A3C37">
        <w:rPr>
          <w:rFonts w:ascii="Arial" w:hAnsi="Arial" w:cs="Arial"/>
          <w:color w:val="323E48"/>
          <w:sz w:val="22"/>
          <w:szCs w:val="22"/>
          <w:lang w:val="en-US" w:bidi="hi-IN"/>
        </w:rPr>
        <w:t>.</w:t>
      </w:r>
    </w:p>
    <w:bookmarkEnd w:id="2"/>
    <w:p w14:paraId="7C654D06" w14:textId="312D0F97" w:rsidR="00412709" w:rsidRPr="009A3C37" w:rsidRDefault="00412709" w:rsidP="00412709">
      <w:pPr>
        <w:rPr>
          <w:rFonts w:ascii="Arial" w:hAnsi="Arial" w:cs="Arial"/>
          <w:color w:val="323E48"/>
          <w:lang w:val="en-US" w:bidi="hi-IN"/>
        </w:rPr>
      </w:pPr>
    </w:p>
    <w:p w14:paraId="0ED11707" w14:textId="2DD7BE34" w:rsidR="00E342EC" w:rsidRPr="009A3C37" w:rsidRDefault="003E09CC" w:rsidP="00E342EC">
      <w:pPr>
        <w:rPr>
          <w:rFonts w:ascii="Arial" w:hAnsi="Arial" w:cs="Arial"/>
          <w:b/>
          <w:color w:val="323E48"/>
          <w:sz w:val="22"/>
          <w:lang w:val="en-US" w:bidi="hi-IN"/>
        </w:rPr>
      </w:pPr>
      <w:r w:rsidRPr="009A3C37">
        <w:rPr>
          <w:rFonts w:ascii="Arial" w:hAnsi="Arial" w:cs="Arial"/>
          <w:b/>
          <w:color w:val="323E48"/>
          <w:sz w:val="22"/>
          <w:lang w:val="en-US" w:bidi="hi-IN"/>
        </w:rPr>
        <w:t>Jenny Moles</w:t>
      </w:r>
      <w:r w:rsidR="00E342EC" w:rsidRPr="009A3C37">
        <w:rPr>
          <w:rFonts w:ascii="Arial" w:hAnsi="Arial" w:cs="Arial"/>
          <w:b/>
          <w:color w:val="323E48"/>
          <w:sz w:val="22"/>
          <w:lang w:val="en-US" w:bidi="hi-IN"/>
        </w:rPr>
        <w:t xml:space="preserve"> (Chair)</w:t>
      </w:r>
    </w:p>
    <w:p w14:paraId="247B6BED" w14:textId="23AB77A0" w:rsidR="00E342EC" w:rsidRPr="009A3C37" w:rsidRDefault="00F96046" w:rsidP="00E342EC">
      <w:pPr>
        <w:rPr>
          <w:rFonts w:ascii="Arial" w:hAnsi="Arial" w:cs="Arial"/>
          <w:b/>
          <w:color w:val="323E48"/>
          <w:sz w:val="22"/>
          <w:lang w:val="en-US" w:bidi="hi-IN"/>
        </w:rPr>
      </w:pPr>
      <w:r w:rsidRPr="009A3C37">
        <w:rPr>
          <w:rFonts w:ascii="Arial" w:hAnsi="Arial" w:cs="Arial"/>
          <w:b/>
          <w:color w:val="323E48"/>
          <w:sz w:val="22"/>
          <w:lang w:val="en-US" w:bidi="hi-IN"/>
        </w:rPr>
        <w:t>Natica Schmeder</w:t>
      </w:r>
    </w:p>
    <w:p w14:paraId="1A1A3AED" w14:textId="7CA09D94" w:rsidR="00CD3FB3" w:rsidRPr="009A3C37" w:rsidRDefault="00F96046" w:rsidP="00E342EC">
      <w:pPr>
        <w:rPr>
          <w:rFonts w:ascii="Arial" w:hAnsi="Arial" w:cs="Arial"/>
          <w:b/>
          <w:color w:val="323E48"/>
          <w:sz w:val="22"/>
          <w:lang w:val="en-US" w:bidi="hi-IN"/>
        </w:rPr>
      </w:pPr>
      <w:r w:rsidRPr="009A3C37">
        <w:rPr>
          <w:rFonts w:ascii="Arial" w:hAnsi="Arial" w:cs="Arial"/>
          <w:b/>
          <w:color w:val="323E48"/>
          <w:sz w:val="22"/>
          <w:lang w:val="en-US" w:bidi="hi-IN"/>
        </w:rPr>
        <w:t>Karen Murphy</w:t>
      </w:r>
    </w:p>
    <w:p w14:paraId="2DE8396B" w14:textId="77777777" w:rsidR="00E342EC" w:rsidRPr="009A3C37" w:rsidRDefault="00E342EC" w:rsidP="00E342EC">
      <w:pPr>
        <w:rPr>
          <w:b/>
          <w:color w:val="323E48"/>
        </w:rPr>
      </w:pPr>
    </w:p>
    <w:p w14:paraId="7B8FC3D9" w14:textId="7D7AAFDC" w:rsidR="00E342EC" w:rsidRPr="009A3C37" w:rsidRDefault="00E342EC" w:rsidP="00412709">
      <w:pPr>
        <w:rPr>
          <w:rFonts w:ascii="Arial" w:hAnsi="Arial" w:cs="Arial"/>
          <w:color w:val="323E48"/>
          <w:sz w:val="22"/>
          <w:lang w:val="en-US" w:bidi="hi-IN"/>
        </w:rPr>
      </w:pPr>
      <w:r w:rsidRPr="009A3C37">
        <w:rPr>
          <w:rFonts w:ascii="Arial" w:hAnsi="Arial" w:cs="Arial"/>
          <w:b/>
          <w:color w:val="323E48"/>
          <w:sz w:val="22"/>
          <w:lang w:val="en-US" w:bidi="hi-IN"/>
        </w:rPr>
        <w:t xml:space="preserve">Decision Date </w:t>
      </w:r>
      <w:r w:rsidRPr="009A3C37">
        <w:rPr>
          <w:rFonts w:ascii="Arial" w:hAnsi="Arial" w:cs="Arial"/>
          <w:color w:val="323E48"/>
          <w:sz w:val="22"/>
          <w:lang w:val="en-US" w:bidi="hi-IN"/>
        </w:rPr>
        <w:t xml:space="preserve">– </w:t>
      </w:r>
      <w:r w:rsidR="00B65C5E">
        <w:rPr>
          <w:rFonts w:ascii="Arial" w:hAnsi="Arial" w:cs="Arial"/>
          <w:color w:val="323E48"/>
          <w:sz w:val="22"/>
          <w:lang w:val="en-US" w:bidi="hi-IN"/>
        </w:rPr>
        <w:t>2 September</w:t>
      </w:r>
      <w:r w:rsidRPr="009A3C37">
        <w:rPr>
          <w:rFonts w:ascii="Arial" w:hAnsi="Arial" w:cs="Arial"/>
          <w:color w:val="323E48"/>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lang w:eastAsia="en-AU"/>
        </w:rPr>
        <mc:AlternateContent>
          <mc:Choice Requires="wpg">
            <w:drawing>
              <wp:anchor distT="0" distB="0" distL="114300" distR="114300" simplePos="0" relativeHeight="251658240"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D3804" id="Group 10" o:spid="_x0000_s1026" style="position:absolute;margin-left:69.5pt;margin-top:12.8pt;width:454.95pt;height:5.9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4" w:name="_Hlk507577945"/>
    </w:p>
    <w:bookmarkEnd w:id="4"/>
    <w:p w14:paraId="4046834F" w14:textId="77777777" w:rsidR="00FA3356" w:rsidRPr="001E0EA9" w:rsidRDefault="00FA3356" w:rsidP="00FA3356">
      <w:pPr>
        <w:rPr>
          <w:b/>
          <w:bCs/>
          <w:caps/>
          <w:sz w:val="26"/>
          <w:szCs w:val="26"/>
        </w:rPr>
      </w:pPr>
      <w:r>
        <w:br w:type="page"/>
      </w:r>
    </w:p>
    <w:p w14:paraId="4869C49A" w14:textId="4614312F" w:rsidR="00971908" w:rsidRPr="008330CE" w:rsidRDefault="00971908" w:rsidP="00971908">
      <w:pPr>
        <w:pStyle w:val="H3AFTER"/>
        <w:rPr>
          <w:b/>
          <w:lang w:eastAsia="en-AU"/>
        </w:rPr>
      </w:pPr>
      <w:r>
        <w:rPr>
          <w:b/>
          <w:sz w:val="24"/>
          <w:lang w:eastAsia="en-AU"/>
        </w:rPr>
        <w:lastRenderedPageBreak/>
        <w:t>ACKNOWLEDGEMENT</w:t>
      </w:r>
    </w:p>
    <w:p w14:paraId="1CA82E13" w14:textId="20AB9C1A" w:rsidR="00971908" w:rsidRPr="009A3C37" w:rsidRDefault="00971908" w:rsidP="00971908">
      <w:pPr>
        <w:autoSpaceDE w:val="0"/>
        <w:autoSpaceDN w:val="0"/>
        <w:adjustRightInd w:val="0"/>
        <w:spacing w:line="240" w:lineRule="atLeast"/>
        <w:jc w:val="both"/>
        <w:rPr>
          <w:rFonts w:ascii="Arial" w:hAnsi="Arial" w:cs="Arial"/>
          <w:color w:val="323E48"/>
          <w:sz w:val="22"/>
          <w:szCs w:val="22"/>
          <w:lang w:eastAsia="en-AU"/>
        </w:rPr>
      </w:pPr>
      <w:r w:rsidRPr="009A3C37">
        <w:rPr>
          <w:rFonts w:ascii="Arial" w:hAnsi="Arial" w:cs="Arial"/>
          <w:color w:val="323E48"/>
          <w:sz w:val="22"/>
          <w:szCs w:val="22"/>
          <w:lang w:eastAsia="en-AU"/>
        </w:rPr>
        <w:t xml:space="preserve">As a peak </w:t>
      </w:r>
      <w:r w:rsidR="008B25DD" w:rsidRPr="009A3C37">
        <w:rPr>
          <w:rFonts w:ascii="Arial" w:hAnsi="Arial" w:cs="Arial"/>
          <w:color w:val="323E48"/>
          <w:sz w:val="22"/>
          <w:szCs w:val="22"/>
          <w:lang w:eastAsia="en-AU"/>
        </w:rPr>
        <w:t>h</w:t>
      </w:r>
      <w:r w:rsidRPr="009A3C37">
        <w:rPr>
          <w:rFonts w:ascii="Arial" w:hAnsi="Arial" w:cs="Arial"/>
          <w:color w:val="323E48"/>
          <w:sz w:val="22"/>
          <w:szCs w:val="22"/>
          <w:lang w:eastAsia="en-AU"/>
        </w:rPr>
        <w:t xml:space="preserve">eritage body, the Heritage Council is proud to acknowledge </w:t>
      </w:r>
      <w:r w:rsidR="0058388A" w:rsidRPr="009A3C37">
        <w:rPr>
          <w:rFonts w:ascii="Arial" w:hAnsi="Arial" w:cs="Arial"/>
          <w:color w:val="323E48"/>
          <w:sz w:val="22"/>
          <w:szCs w:val="22"/>
          <w:lang w:eastAsia="en-AU"/>
        </w:rPr>
        <w:t xml:space="preserve">the </w:t>
      </w:r>
      <w:r w:rsidRPr="009A3C37">
        <w:rPr>
          <w:rFonts w:ascii="Arial" w:hAnsi="Arial" w:cs="Arial"/>
          <w:color w:val="323E48"/>
          <w:sz w:val="22"/>
          <w:szCs w:val="22"/>
          <w:lang w:eastAsia="en-AU"/>
        </w:rPr>
        <w:t xml:space="preserve">Traditional Owners as the original custodians of the land on which we </w:t>
      </w:r>
      <w:r w:rsidR="002049E7" w:rsidRPr="009A3C37">
        <w:rPr>
          <w:rFonts w:ascii="Arial" w:hAnsi="Arial" w:cs="Arial"/>
          <w:color w:val="323E48"/>
          <w:sz w:val="22"/>
          <w:szCs w:val="22"/>
          <w:lang w:eastAsia="en-AU"/>
        </w:rPr>
        <w:t xml:space="preserve">met and </w:t>
      </w:r>
      <w:r w:rsidR="006F5658" w:rsidRPr="009A3C37">
        <w:rPr>
          <w:rFonts w:ascii="Arial" w:hAnsi="Arial" w:cs="Arial"/>
          <w:color w:val="323E48"/>
          <w:sz w:val="22"/>
          <w:szCs w:val="22"/>
          <w:lang w:eastAsia="en-AU"/>
        </w:rPr>
        <w:t>deliberate</w:t>
      </w:r>
      <w:r w:rsidR="002049E7" w:rsidRPr="009A3C37">
        <w:rPr>
          <w:rFonts w:ascii="Arial" w:hAnsi="Arial" w:cs="Arial"/>
          <w:color w:val="323E48"/>
          <w:sz w:val="22"/>
          <w:szCs w:val="22"/>
          <w:lang w:eastAsia="en-AU"/>
        </w:rPr>
        <w:t>d</w:t>
      </w:r>
      <w:r w:rsidRPr="009A3C37">
        <w:rPr>
          <w:rFonts w:ascii="Arial" w:hAnsi="Arial" w:cs="Arial"/>
          <w:color w:val="323E48"/>
          <w:sz w:val="22"/>
          <w:szCs w:val="22"/>
          <w:lang w:eastAsia="en-AU"/>
        </w:rPr>
        <w:t>, and to acknowledge the importance and significance of Aboriginal cultural heritage in Victoria. We honour Elders past and present whose knowledge and wisdom has ensured the continuation of culture and traditional practices.</w:t>
      </w:r>
    </w:p>
    <w:p w14:paraId="141F96C7" w14:textId="2E98E4C7" w:rsidR="00080337" w:rsidRDefault="00971908" w:rsidP="00412709">
      <w:pPr>
        <w:pStyle w:val="H3AFTER"/>
        <w:rPr>
          <w:b/>
          <w:sz w:val="24"/>
          <w:lang w:eastAsia="en-AU"/>
        </w:rPr>
      </w:pPr>
      <w:r>
        <w:rPr>
          <w:noProof/>
        </w:rPr>
        <mc:AlternateContent>
          <mc:Choice Requires="wpg">
            <w:drawing>
              <wp:anchor distT="0" distB="0" distL="114300" distR="114300" simplePos="0" relativeHeight="251658242" behindDoc="1" locked="0" layoutInCell="0" allowOverlap="1" wp14:anchorId="3DDB4EC2" wp14:editId="21694DDB">
                <wp:simplePos x="0" y="0"/>
                <wp:positionH relativeFrom="margin">
                  <wp:align>left</wp:align>
                </wp:positionH>
                <wp:positionV relativeFrom="paragraph">
                  <wp:posOffset>322580</wp:posOffset>
                </wp:positionV>
                <wp:extent cx="5777865" cy="75565"/>
                <wp:effectExtent l="0" t="0" r="1333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2"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0D697" id="Group 1" o:spid="_x0000_s1026" style="position:absolute;margin-left:0;margin-top:25.4pt;width:454.95pt;height:5.95pt;z-index:-251658238;mso-position-horizontal:left;mso-position-horizontal-relative:margin"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" path="m,l2456,e" filled="f" strokecolor="#aa182c" strokeweight="1.53528mm">
                  <v:path arrowok="t" o:connecttype="custom" o:connectlocs="0,0;2456,0" o:connectangles="0,0"/>
                </v:shape>
                <w10:wrap anchorx="margin"/>
              </v:group>
            </w:pict>
          </mc:Fallback>
        </mc:AlternateContent>
      </w:r>
    </w:p>
    <w:p w14:paraId="2C51708E" w14:textId="74177083" w:rsidR="00FA3356" w:rsidRPr="009400F0" w:rsidRDefault="00971908" w:rsidP="00412709">
      <w:pPr>
        <w:pStyle w:val="H3AFTER"/>
        <w:rPr>
          <w:b/>
          <w:sz w:val="24"/>
          <w:lang w:eastAsia="en-AU"/>
        </w:rPr>
      </w:pPr>
      <w:r>
        <w:rPr>
          <w:b/>
          <w:sz w:val="24"/>
          <w:lang w:eastAsia="en-AU"/>
        </w:rPr>
        <w:t>HEARING PARTICIPANTS</w:t>
      </w:r>
    </w:p>
    <w:p w14:paraId="4B57B913" w14:textId="4ADC9AB9" w:rsidR="00FA3356" w:rsidRPr="00C85E4B" w:rsidRDefault="00FA3356" w:rsidP="00C85E4B">
      <w:pPr>
        <w:pStyle w:val="H4"/>
        <w:spacing w:after="120"/>
        <w:rPr>
          <w:sz w:val="22"/>
        </w:rPr>
      </w:pPr>
      <w:r w:rsidRPr="00C85E4B">
        <w:rPr>
          <w:sz w:val="22"/>
        </w:rPr>
        <w:t>Executive Director, Heritage Victoria (‘the Executive Director</w:t>
      </w:r>
      <w:r w:rsidR="00E342EC">
        <w:rPr>
          <w:sz w:val="22"/>
        </w:rPr>
        <w:t>’</w:t>
      </w:r>
      <w:r w:rsidRPr="00C85E4B">
        <w:rPr>
          <w:sz w:val="22"/>
        </w:rPr>
        <w:t>)</w:t>
      </w:r>
    </w:p>
    <w:p w14:paraId="355405FE" w14:textId="20FC1BED" w:rsidR="00FA3356" w:rsidRPr="009400F0" w:rsidRDefault="00D86828" w:rsidP="009400F0">
      <w:pPr>
        <w:pStyle w:val="BP2"/>
        <w:tabs>
          <w:tab w:val="clear" w:pos="432"/>
        </w:tabs>
        <w:rPr>
          <w:sz w:val="22"/>
        </w:rPr>
      </w:pPr>
      <w:r>
        <w:rPr>
          <w:sz w:val="22"/>
        </w:rPr>
        <w:t>T</w:t>
      </w:r>
      <w:r w:rsidR="00775D25" w:rsidRPr="009400F0">
        <w:rPr>
          <w:sz w:val="22"/>
        </w:rPr>
        <w:t>he Executive Director</w:t>
      </w:r>
      <w:r w:rsidR="00971908">
        <w:rPr>
          <w:sz w:val="22"/>
        </w:rPr>
        <w:t xml:space="preserve"> </w:t>
      </w:r>
      <w:r w:rsidR="007D3A59">
        <w:rPr>
          <w:sz w:val="22"/>
        </w:rPr>
        <w:t>of</w:t>
      </w:r>
      <w:r w:rsidR="00971908">
        <w:rPr>
          <w:sz w:val="22"/>
        </w:rPr>
        <w:t xml:space="preserve"> Heritage Victoria</w:t>
      </w:r>
      <w:r>
        <w:rPr>
          <w:sz w:val="22"/>
        </w:rPr>
        <w:t xml:space="preserve"> was represented by </w:t>
      </w:r>
      <w:r w:rsidR="006C0440">
        <w:rPr>
          <w:sz w:val="22"/>
        </w:rPr>
        <w:t>Ms Emily McLean</w:t>
      </w:r>
      <w:r w:rsidR="00775D25" w:rsidRPr="009400F0">
        <w:rPr>
          <w:sz w:val="22"/>
        </w:rPr>
        <w:t xml:space="preserve">, </w:t>
      </w:r>
      <w:r w:rsidR="00C114CC">
        <w:rPr>
          <w:sz w:val="22"/>
        </w:rPr>
        <w:t>Manager – Statutory Approval</w:t>
      </w:r>
      <w:r w:rsidR="00654D98">
        <w:rPr>
          <w:sz w:val="22"/>
        </w:rPr>
        <w:t>s</w:t>
      </w:r>
      <w:r w:rsidR="00775D25" w:rsidRPr="009400F0">
        <w:rPr>
          <w:sz w:val="22"/>
        </w:rPr>
        <w:t>.</w:t>
      </w:r>
      <w:r w:rsidR="00197895" w:rsidRPr="009400F0">
        <w:rPr>
          <w:sz w:val="22"/>
        </w:rPr>
        <w:t xml:space="preserve"> </w:t>
      </w:r>
      <w:r w:rsidR="00D11FFE">
        <w:rPr>
          <w:sz w:val="22"/>
        </w:rPr>
        <w:t xml:space="preserve">She was assisted by </w:t>
      </w:r>
      <w:proofErr w:type="spellStart"/>
      <w:r w:rsidR="00197895" w:rsidRPr="009400F0">
        <w:rPr>
          <w:sz w:val="22"/>
        </w:rPr>
        <w:t>M</w:t>
      </w:r>
      <w:r w:rsidR="00604D3A">
        <w:rPr>
          <w:sz w:val="22"/>
        </w:rPr>
        <w:t>r</w:t>
      </w:r>
      <w:proofErr w:type="spellEnd"/>
      <w:r w:rsidR="00604D3A">
        <w:rPr>
          <w:sz w:val="22"/>
        </w:rPr>
        <w:t xml:space="preserve"> Michael </w:t>
      </w:r>
      <w:proofErr w:type="spellStart"/>
      <w:r w:rsidR="00604D3A">
        <w:rPr>
          <w:sz w:val="22"/>
        </w:rPr>
        <w:t>Gal</w:t>
      </w:r>
      <w:r w:rsidR="00413E35">
        <w:rPr>
          <w:sz w:val="22"/>
        </w:rPr>
        <w:t>i</w:t>
      </w:r>
      <w:r w:rsidR="00604D3A">
        <w:rPr>
          <w:sz w:val="22"/>
        </w:rPr>
        <w:t>many</w:t>
      </w:r>
      <w:proofErr w:type="spellEnd"/>
      <w:r w:rsidR="00197895" w:rsidRPr="009400F0">
        <w:rPr>
          <w:sz w:val="22"/>
        </w:rPr>
        <w:t xml:space="preserve">, </w:t>
      </w:r>
      <w:r w:rsidR="001E72B7">
        <w:rPr>
          <w:sz w:val="22"/>
        </w:rPr>
        <w:t>Senior Heritage Officer</w:t>
      </w:r>
      <w:r w:rsidR="00D11FFE">
        <w:rPr>
          <w:sz w:val="22"/>
        </w:rPr>
        <w:t>.</w:t>
      </w:r>
    </w:p>
    <w:p w14:paraId="067BF1F8" w14:textId="23F77747" w:rsidR="00D1252B" w:rsidRPr="00D1252B" w:rsidRDefault="00F25EE5" w:rsidP="00D1252B">
      <w:pPr>
        <w:pStyle w:val="H4"/>
        <w:spacing w:after="120"/>
        <w:rPr>
          <w:sz w:val="22"/>
        </w:rPr>
      </w:pPr>
      <w:r>
        <w:rPr>
          <w:sz w:val="22"/>
        </w:rPr>
        <w:t>GPT group</w:t>
      </w:r>
      <w:r w:rsidR="00911684">
        <w:rPr>
          <w:sz w:val="22"/>
        </w:rPr>
        <w:t xml:space="preserve"> </w:t>
      </w:r>
      <w:r w:rsidR="00911684" w:rsidRPr="00D1252B">
        <w:rPr>
          <w:rFonts w:eastAsia="Times New Roman"/>
          <w:sz w:val="22"/>
          <w:szCs w:val="22"/>
          <w:lang w:eastAsia="en-AU"/>
        </w:rPr>
        <w:t>(‘</w:t>
      </w:r>
      <w:r w:rsidR="00B647F9">
        <w:rPr>
          <w:rFonts w:eastAsia="Times New Roman"/>
          <w:sz w:val="22"/>
          <w:szCs w:val="22"/>
          <w:lang w:eastAsia="en-AU"/>
        </w:rPr>
        <w:t xml:space="preserve">the </w:t>
      </w:r>
      <w:r w:rsidR="00D91A1F">
        <w:rPr>
          <w:rFonts w:eastAsia="Times New Roman"/>
          <w:sz w:val="22"/>
          <w:szCs w:val="22"/>
          <w:lang w:eastAsia="en-AU"/>
        </w:rPr>
        <w:t>PERMIT APPLICANT</w:t>
      </w:r>
      <w:r w:rsidR="00911684" w:rsidRPr="00D1252B">
        <w:rPr>
          <w:rFonts w:eastAsia="Times New Roman"/>
          <w:sz w:val="22"/>
          <w:szCs w:val="22"/>
          <w:lang w:eastAsia="en-AU"/>
        </w:rPr>
        <w:t>’)</w:t>
      </w:r>
    </w:p>
    <w:p w14:paraId="1901E3FD" w14:textId="78DD1BA0" w:rsidR="00D91A1F" w:rsidRPr="009400F0" w:rsidRDefault="00D1252B" w:rsidP="009400F0">
      <w:pPr>
        <w:pStyle w:val="BP2"/>
        <w:tabs>
          <w:tab w:val="clear" w:pos="432"/>
        </w:tabs>
        <w:rPr>
          <w:sz w:val="22"/>
        </w:rPr>
      </w:pPr>
      <w:r w:rsidRPr="009400F0">
        <w:rPr>
          <w:sz w:val="22"/>
        </w:rPr>
        <w:t>Submissions were received from</w:t>
      </w:r>
      <w:r w:rsidR="00F53752">
        <w:rPr>
          <w:sz w:val="22"/>
        </w:rPr>
        <w:t xml:space="preserve"> </w:t>
      </w:r>
      <w:r w:rsidR="00F25EE5">
        <w:rPr>
          <w:sz w:val="22"/>
        </w:rPr>
        <w:t xml:space="preserve">GPT </w:t>
      </w:r>
      <w:r w:rsidR="00CE6271">
        <w:rPr>
          <w:sz w:val="22"/>
        </w:rPr>
        <w:t>Funds Management Ltd</w:t>
      </w:r>
      <w:r w:rsidR="008C2A33">
        <w:rPr>
          <w:sz w:val="22"/>
        </w:rPr>
        <w:t xml:space="preserve"> (GPT Group)</w:t>
      </w:r>
      <w:r w:rsidR="00CE6271">
        <w:rPr>
          <w:sz w:val="22"/>
        </w:rPr>
        <w:t>, the land owner and</w:t>
      </w:r>
      <w:r w:rsidR="00D91A1F" w:rsidRPr="009400F0">
        <w:rPr>
          <w:sz w:val="22"/>
        </w:rPr>
        <w:t xml:space="preserve"> </w:t>
      </w:r>
      <w:r w:rsidR="00501D43" w:rsidRPr="009400F0">
        <w:rPr>
          <w:sz w:val="22"/>
        </w:rPr>
        <w:t>applicant for Permit No.</w:t>
      </w:r>
      <w:r w:rsidR="00C80BF7">
        <w:rPr>
          <w:sz w:val="22"/>
        </w:rPr>
        <w:t xml:space="preserve"> </w:t>
      </w:r>
      <w:r w:rsidR="00C80BF7">
        <w:rPr>
          <w:sz w:val="22"/>
          <w:szCs w:val="22"/>
          <w:lang w:eastAsia="en-AU"/>
        </w:rPr>
        <w:t>P29660</w:t>
      </w:r>
      <w:r w:rsidR="00501D43" w:rsidRPr="009400F0">
        <w:rPr>
          <w:sz w:val="22"/>
        </w:rPr>
        <w:t xml:space="preserve"> and </w:t>
      </w:r>
      <w:r w:rsidR="00E025ED" w:rsidRPr="009400F0">
        <w:rPr>
          <w:sz w:val="22"/>
        </w:rPr>
        <w:t xml:space="preserve">requestor </w:t>
      </w:r>
      <w:r w:rsidR="00045ABE">
        <w:rPr>
          <w:sz w:val="22"/>
        </w:rPr>
        <w:t>of</w:t>
      </w:r>
      <w:r w:rsidR="00E025ED" w:rsidRPr="009400F0">
        <w:rPr>
          <w:sz w:val="22"/>
        </w:rPr>
        <w:t xml:space="preserve"> the review</w:t>
      </w:r>
      <w:r w:rsidR="00501D43" w:rsidRPr="009400F0">
        <w:rPr>
          <w:sz w:val="22"/>
        </w:rPr>
        <w:t xml:space="preserve"> (‘the Permit Applicant’)</w:t>
      </w:r>
      <w:r w:rsidRPr="009400F0">
        <w:rPr>
          <w:sz w:val="22"/>
        </w:rPr>
        <w:t xml:space="preserve">. </w:t>
      </w:r>
      <w:r w:rsidR="00F25EE5">
        <w:rPr>
          <w:sz w:val="22"/>
        </w:rPr>
        <w:t>M</w:t>
      </w:r>
      <w:r w:rsidR="00C378A6">
        <w:rPr>
          <w:sz w:val="22"/>
        </w:rPr>
        <w:t>essrs.</w:t>
      </w:r>
      <w:r w:rsidR="00F25EE5">
        <w:rPr>
          <w:sz w:val="22"/>
        </w:rPr>
        <w:t xml:space="preserve"> </w:t>
      </w:r>
      <w:r w:rsidR="00022CC5">
        <w:rPr>
          <w:sz w:val="22"/>
        </w:rPr>
        <w:t>Stuart Morris</w:t>
      </w:r>
      <w:r w:rsidR="006A0517">
        <w:rPr>
          <w:sz w:val="22"/>
        </w:rPr>
        <w:t xml:space="preserve"> QC</w:t>
      </w:r>
      <w:r w:rsidR="00D91A1F" w:rsidRPr="009400F0">
        <w:rPr>
          <w:sz w:val="22"/>
        </w:rPr>
        <w:t xml:space="preserve"> </w:t>
      </w:r>
      <w:r w:rsidR="00D11FFE">
        <w:rPr>
          <w:sz w:val="22"/>
        </w:rPr>
        <w:t xml:space="preserve">and Rupert Watters of Counsel, </w:t>
      </w:r>
      <w:r w:rsidR="00D11FFE" w:rsidRPr="009400F0">
        <w:rPr>
          <w:sz w:val="22"/>
        </w:rPr>
        <w:t xml:space="preserve">instructed by </w:t>
      </w:r>
      <w:r w:rsidR="00D11FFE">
        <w:rPr>
          <w:sz w:val="22"/>
        </w:rPr>
        <w:t>Minter Ellison Lawyers</w:t>
      </w:r>
      <w:r w:rsidR="00045ABE">
        <w:rPr>
          <w:sz w:val="22"/>
        </w:rPr>
        <w:t>,</w:t>
      </w:r>
      <w:r w:rsidR="00D11FFE">
        <w:rPr>
          <w:sz w:val="22"/>
        </w:rPr>
        <w:t xml:space="preserve"> </w:t>
      </w:r>
      <w:r w:rsidR="00D91A1F" w:rsidRPr="009400F0">
        <w:rPr>
          <w:sz w:val="22"/>
        </w:rPr>
        <w:t xml:space="preserve">appeared </w:t>
      </w:r>
      <w:r w:rsidR="004800C7">
        <w:rPr>
          <w:sz w:val="22"/>
        </w:rPr>
        <w:t xml:space="preserve">and made submissions </w:t>
      </w:r>
      <w:r w:rsidR="00D91A1F" w:rsidRPr="009400F0">
        <w:rPr>
          <w:sz w:val="22"/>
        </w:rPr>
        <w:t>on behalf of the</w:t>
      </w:r>
      <w:r w:rsidR="004F737C" w:rsidRPr="009400F0">
        <w:rPr>
          <w:sz w:val="22"/>
        </w:rPr>
        <w:t xml:space="preserve"> Permit Applicant</w:t>
      </w:r>
      <w:r w:rsidR="00D11FFE">
        <w:rPr>
          <w:sz w:val="22"/>
        </w:rPr>
        <w:t>.</w:t>
      </w:r>
    </w:p>
    <w:p w14:paraId="40E19014" w14:textId="7E71217A" w:rsidR="00C32B89" w:rsidRDefault="00D91A1F" w:rsidP="009400F0">
      <w:pPr>
        <w:pStyle w:val="BP2"/>
        <w:tabs>
          <w:tab w:val="clear" w:pos="432"/>
        </w:tabs>
        <w:rPr>
          <w:sz w:val="22"/>
        </w:rPr>
      </w:pPr>
      <w:r w:rsidRPr="009400F0">
        <w:rPr>
          <w:sz w:val="22"/>
        </w:rPr>
        <w:t xml:space="preserve">The </w:t>
      </w:r>
      <w:r w:rsidR="004F737C" w:rsidRPr="009400F0">
        <w:rPr>
          <w:sz w:val="22"/>
        </w:rPr>
        <w:t>Permit Applicant</w:t>
      </w:r>
      <w:r w:rsidRPr="009400F0">
        <w:rPr>
          <w:sz w:val="22"/>
        </w:rPr>
        <w:t>’s</w:t>
      </w:r>
      <w:r w:rsidR="004800C7">
        <w:rPr>
          <w:sz w:val="22"/>
        </w:rPr>
        <w:t xml:space="preserve"> written </w:t>
      </w:r>
      <w:r w:rsidRPr="009400F0">
        <w:rPr>
          <w:sz w:val="22"/>
        </w:rPr>
        <w:t xml:space="preserve">submissions </w:t>
      </w:r>
      <w:r w:rsidR="0060536B">
        <w:rPr>
          <w:sz w:val="22"/>
        </w:rPr>
        <w:t xml:space="preserve">were </w:t>
      </w:r>
      <w:r w:rsidR="004800C7">
        <w:rPr>
          <w:sz w:val="22"/>
        </w:rPr>
        <w:t>accompanied</w:t>
      </w:r>
      <w:r w:rsidR="0060536B">
        <w:rPr>
          <w:sz w:val="22"/>
        </w:rPr>
        <w:t xml:space="preserve"> by</w:t>
      </w:r>
      <w:r w:rsidRPr="009400F0">
        <w:rPr>
          <w:sz w:val="22"/>
        </w:rPr>
        <w:t xml:space="preserve"> </w:t>
      </w:r>
      <w:r w:rsidR="006F5658">
        <w:rPr>
          <w:sz w:val="22"/>
        </w:rPr>
        <w:t>expert</w:t>
      </w:r>
      <w:r w:rsidR="006F5658" w:rsidRPr="009400F0">
        <w:rPr>
          <w:sz w:val="22"/>
        </w:rPr>
        <w:t xml:space="preserve"> </w:t>
      </w:r>
      <w:r w:rsidRPr="009400F0">
        <w:rPr>
          <w:sz w:val="22"/>
        </w:rPr>
        <w:t xml:space="preserve">statements of evidence </w:t>
      </w:r>
      <w:r w:rsidR="001A7FE7">
        <w:rPr>
          <w:sz w:val="22"/>
        </w:rPr>
        <w:t xml:space="preserve">by </w:t>
      </w:r>
      <w:r w:rsidR="000613B6">
        <w:rPr>
          <w:sz w:val="22"/>
        </w:rPr>
        <w:t>Mr Peter Lovell of Lovell Chen Pty Ltd</w:t>
      </w:r>
      <w:r w:rsidR="00927731">
        <w:rPr>
          <w:sz w:val="22"/>
        </w:rPr>
        <w:t xml:space="preserve"> and </w:t>
      </w:r>
      <w:r w:rsidR="004800C7">
        <w:rPr>
          <w:sz w:val="22"/>
        </w:rPr>
        <w:t>Ms Amanda Roberts of SJB Urban Pty Lt</w:t>
      </w:r>
      <w:r w:rsidR="00927731">
        <w:rPr>
          <w:sz w:val="22"/>
        </w:rPr>
        <w:t xml:space="preserve">d, </w:t>
      </w:r>
      <w:r w:rsidR="006F5658">
        <w:rPr>
          <w:sz w:val="22"/>
        </w:rPr>
        <w:t>on heritage and urban design respectively. B</w:t>
      </w:r>
      <w:r w:rsidR="003D43AC">
        <w:rPr>
          <w:sz w:val="22"/>
        </w:rPr>
        <w:t xml:space="preserve">oth </w:t>
      </w:r>
      <w:r w:rsidR="00C32B89" w:rsidRPr="009400F0">
        <w:rPr>
          <w:sz w:val="22"/>
        </w:rPr>
        <w:t>w</w:t>
      </w:r>
      <w:r w:rsidR="00DF5E72" w:rsidRPr="009400F0">
        <w:rPr>
          <w:sz w:val="22"/>
        </w:rPr>
        <w:t>ere</w:t>
      </w:r>
      <w:r w:rsidR="00C32B89" w:rsidRPr="009400F0">
        <w:rPr>
          <w:sz w:val="22"/>
        </w:rPr>
        <w:t xml:space="preserve"> called</w:t>
      </w:r>
      <w:r w:rsidR="004800C7">
        <w:rPr>
          <w:sz w:val="22"/>
        </w:rPr>
        <w:t xml:space="preserve"> by Mr Morris</w:t>
      </w:r>
      <w:r w:rsidR="00C32B89" w:rsidRPr="009400F0">
        <w:rPr>
          <w:sz w:val="22"/>
        </w:rPr>
        <w:t xml:space="preserve"> to give evidence</w:t>
      </w:r>
      <w:r w:rsidR="004800C7">
        <w:rPr>
          <w:sz w:val="22"/>
        </w:rPr>
        <w:t xml:space="preserve"> at the hearing</w:t>
      </w:r>
      <w:r w:rsidR="00C32B89" w:rsidRPr="009400F0">
        <w:rPr>
          <w:sz w:val="22"/>
        </w:rPr>
        <w:t>.</w:t>
      </w:r>
    </w:p>
    <w:p w14:paraId="28604B63" w14:textId="72905E2B" w:rsidR="00AE0170" w:rsidRDefault="00AE0170" w:rsidP="009400F0">
      <w:pPr>
        <w:pStyle w:val="BP2"/>
        <w:tabs>
          <w:tab w:val="clear" w:pos="432"/>
        </w:tabs>
        <w:rPr>
          <w:sz w:val="22"/>
        </w:rPr>
      </w:pPr>
      <w:r>
        <w:rPr>
          <w:sz w:val="22"/>
        </w:rPr>
        <w:t xml:space="preserve">Mr Morris also called Mr Grant Dixon of </w:t>
      </w:r>
      <w:r w:rsidR="00207593">
        <w:rPr>
          <w:sz w:val="22"/>
        </w:rPr>
        <w:t xml:space="preserve">Kerstin </w:t>
      </w:r>
      <w:r>
        <w:rPr>
          <w:sz w:val="22"/>
        </w:rPr>
        <w:t>Thompson Architects to describe the proposed works which are the subject of the Permit Application.</w:t>
      </w:r>
    </w:p>
    <w:p w14:paraId="669B805F" w14:textId="77777777" w:rsidR="002049E7" w:rsidRDefault="002049E7" w:rsidP="002049E7">
      <w:pPr>
        <w:pStyle w:val="H4"/>
        <w:spacing w:after="120"/>
        <w:rPr>
          <w:sz w:val="22"/>
        </w:rPr>
      </w:pPr>
      <w:r>
        <w:rPr>
          <w:sz w:val="22"/>
        </w:rPr>
        <w:t>Melbourne Heritage Action (‘MHA’)</w:t>
      </w:r>
    </w:p>
    <w:p w14:paraId="7698AF60" w14:textId="77777777" w:rsidR="002049E7" w:rsidRPr="009400F0" w:rsidRDefault="002049E7" w:rsidP="002049E7">
      <w:pPr>
        <w:pStyle w:val="BP2"/>
        <w:tabs>
          <w:tab w:val="clear" w:pos="432"/>
        </w:tabs>
        <w:rPr>
          <w:sz w:val="22"/>
        </w:rPr>
      </w:pPr>
      <w:r>
        <w:rPr>
          <w:sz w:val="22"/>
        </w:rPr>
        <w:t>Mr Rohan Storey of MHA</w:t>
      </w:r>
      <w:r w:rsidRPr="009400F0">
        <w:rPr>
          <w:sz w:val="22"/>
        </w:rPr>
        <w:t xml:space="preserve"> </w:t>
      </w:r>
      <w:r>
        <w:rPr>
          <w:sz w:val="22"/>
        </w:rPr>
        <w:t xml:space="preserve">forwarded a </w:t>
      </w:r>
      <w:r w:rsidRPr="009400F0">
        <w:rPr>
          <w:sz w:val="22"/>
        </w:rPr>
        <w:t>written submission</w:t>
      </w:r>
      <w:r>
        <w:rPr>
          <w:sz w:val="22"/>
        </w:rPr>
        <w:t xml:space="preserve"> generally</w:t>
      </w:r>
      <w:r w:rsidRPr="009400F0">
        <w:rPr>
          <w:sz w:val="22"/>
        </w:rPr>
        <w:t xml:space="preserve"> in support of the Executive Director’s determination.</w:t>
      </w:r>
    </w:p>
    <w:p w14:paraId="4464B5B3" w14:textId="77777777" w:rsidR="002049E7" w:rsidRDefault="002049E7" w:rsidP="009400F0">
      <w:pPr>
        <w:pStyle w:val="BP2"/>
        <w:tabs>
          <w:tab w:val="clear" w:pos="432"/>
        </w:tabs>
        <w:rPr>
          <w:sz w:val="22"/>
        </w:rPr>
      </w:pPr>
    </w:p>
    <w:p w14:paraId="4D9BDB57" w14:textId="133485D5" w:rsidR="00412709" w:rsidRPr="00E824E7" w:rsidRDefault="00FA3356" w:rsidP="00267AE6">
      <w:pPr>
        <w:pStyle w:val="H3AFTER"/>
        <w:rPr>
          <w:b/>
          <w:lang w:eastAsia="en-AU"/>
        </w:rPr>
      </w:pPr>
      <w:r w:rsidRPr="001A0A28">
        <w:rPr>
          <w:sz w:val="23"/>
          <w:szCs w:val="23"/>
          <w:highlight w:val="lightGray"/>
          <w:lang w:eastAsia="en-AU"/>
        </w:rPr>
        <w:br w:type="page"/>
      </w:r>
      <w:bookmarkStart w:id="5" w:name="_Hlk6301577"/>
      <w:r w:rsidR="00412709" w:rsidRPr="00E824E7">
        <w:rPr>
          <w:b/>
          <w:sz w:val="24"/>
          <w:lang w:eastAsia="en-AU"/>
        </w:rPr>
        <w:lastRenderedPageBreak/>
        <w:t>INTRODUCTION</w:t>
      </w:r>
      <w:r w:rsidR="00412709">
        <w:rPr>
          <w:b/>
          <w:sz w:val="24"/>
          <w:lang w:eastAsia="en-AU"/>
        </w:rPr>
        <w:t>/BACKGROUND</w:t>
      </w:r>
    </w:p>
    <w:bookmarkEnd w:id="5"/>
    <w:p w14:paraId="7CD6EFBB" w14:textId="68943169" w:rsidR="000D613A" w:rsidRPr="008826DA" w:rsidRDefault="000D613A" w:rsidP="004402D0">
      <w:pPr>
        <w:pStyle w:val="H4"/>
        <w:spacing w:after="120"/>
        <w:rPr>
          <w:sz w:val="22"/>
        </w:rPr>
      </w:pPr>
      <w:r w:rsidRPr="00E05B1D">
        <w:rPr>
          <w:sz w:val="22"/>
        </w:rPr>
        <w:t>T</w:t>
      </w:r>
      <w:r>
        <w:rPr>
          <w:sz w:val="22"/>
        </w:rPr>
        <w:t xml:space="preserve">he </w:t>
      </w:r>
      <w:r w:rsidR="004402D0">
        <w:rPr>
          <w:sz w:val="22"/>
        </w:rPr>
        <w:t>review</w:t>
      </w:r>
    </w:p>
    <w:p w14:paraId="4451EE65" w14:textId="412B00D1" w:rsidR="00927AE7" w:rsidRPr="009A3C37" w:rsidRDefault="0058388A" w:rsidP="009A3C37">
      <w:pPr>
        <w:pStyle w:val="BP2"/>
        <w:numPr>
          <w:ilvl w:val="0"/>
          <w:numId w:val="3"/>
        </w:numPr>
        <w:tabs>
          <w:tab w:val="clear" w:pos="432"/>
          <w:tab w:val="left" w:pos="567"/>
        </w:tabs>
        <w:ind w:left="567" w:hanging="567"/>
        <w:rPr>
          <w:sz w:val="22"/>
        </w:rPr>
      </w:pPr>
      <w:r w:rsidRPr="00C577A2">
        <w:rPr>
          <w:sz w:val="22"/>
        </w:rPr>
        <w:t>This proceeding is a</w:t>
      </w:r>
      <w:r w:rsidR="004402D0" w:rsidRPr="00C577A2">
        <w:rPr>
          <w:sz w:val="22"/>
        </w:rPr>
        <w:t xml:space="preserve"> </w:t>
      </w:r>
      <w:r w:rsidRPr="00C577A2">
        <w:rPr>
          <w:sz w:val="22"/>
        </w:rPr>
        <w:t xml:space="preserve">review </w:t>
      </w:r>
      <w:r w:rsidR="00927AE7" w:rsidRPr="00C577A2">
        <w:rPr>
          <w:sz w:val="22"/>
        </w:rPr>
        <w:t xml:space="preserve">under section 106(2) of the </w:t>
      </w:r>
      <w:r w:rsidR="00C577A2" w:rsidRPr="009A3C37">
        <w:rPr>
          <w:sz w:val="22"/>
        </w:rPr>
        <w:t>Heritage Act 2017</w:t>
      </w:r>
      <w:r w:rsidR="00C577A2" w:rsidRPr="00C577A2">
        <w:rPr>
          <w:sz w:val="22"/>
        </w:rPr>
        <w:t xml:space="preserve"> </w:t>
      </w:r>
      <w:r w:rsidR="00927AE7" w:rsidRPr="00C577A2">
        <w:rPr>
          <w:sz w:val="22"/>
        </w:rPr>
        <w:t xml:space="preserve">(‘the Act’) seeking change to </w:t>
      </w:r>
      <w:r w:rsidR="00C577A2" w:rsidRPr="00C577A2">
        <w:rPr>
          <w:sz w:val="22"/>
        </w:rPr>
        <w:t>Condition</w:t>
      </w:r>
      <w:r w:rsidR="0008146B" w:rsidRPr="00C577A2">
        <w:rPr>
          <w:sz w:val="22"/>
        </w:rPr>
        <w:t xml:space="preserve"> 2</w:t>
      </w:r>
      <w:r w:rsidR="00647BB2" w:rsidRPr="00C577A2">
        <w:rPr>
          <w:sz w:val="22"/>
        </w:rPr>
        <w:t xml:space="preserve"> </w:t>
      </w:r>
      <w:r w:rsidR="00C577A2" w:rsidRPr="00C577A2">
        <w:rPr>
          <w:sz w:val="22"/>
        </w:rPr>
        <w:t>of Permit No</w:t>
      </w:r>
      <w:r w:rsidR="00F864CF" w:rsidRPr="00C577A2">
        <w:rPr>
          <w:sz w:val="22"/>
        </w:rPr>
        <w:t xml:space="preserve">. P29660 </w:t>
      </w:r>
      <w:r w:rsidR="00C577A2" w:rsidRPr="00C577A2">
        <w:rPr>
          <w:sz w:val="22"/>
        </w:rPr>
        <w:t xml:space="preserve">issued by the Executive Director on 15 March 2019 in relation to Registered Place VHR H0034 (‘The Place’). </w:t>
      </w:r>
    </w:p>
    <w:p w14:paraId="093B641A" w14:textId="77777777" w:rsidR="00927AE7" w:rsidRPr="0058388A" w:rsidRDefault="00927AE7" w:rsidP="00927AE7">
      <w:pPr>
        <w:pStyle w:val="H4"/>
        <w:spacing w:after="120"/>
        <w:rPr>
          <w:sz w:val="22"/>
        </w:rPr>
      </w:pPr>
      <w:r w:rsidRPr="0058388A">
        <w:rPr>
          <w:sz w:val="22"/>
        </w:rPr>
        <w:t>The Place</w:t>
      </w:r>
    </w:p>
    <w:p w14:paraId="38B859B3" w14:textId="7845112D" w:rsidR="000C3A53" w:rsidRPr="00927AE7" w:rsidRDefault="006F5658" w:rsidP="009A3C37">
      <w:pPr>
        <w:pStyle w:val="BP2"/>
        <w:numPr>
          <w:ilvl w:val="0"/>
          <w:numId w:val="3"/>
        </w:numPr>
        <w:tabs>
          <w:tab w:val="clear" w:pos="432"/>
          <w:tab w:val="left" w:pos="567"/>
        </w:tabs>
        <w:ind w:left="567" w:hanging="567"/>
        <w:rPr>
          <w:sz w:val="22"/>
        </w:rPr>
      </w:pPr>
      <w:r w:rsidRPr="00927AE7">
        <w:rPr>
          <w:sz w:val="22"/>
        </w:rPr>
        <w:t xml:space="preserve">The </w:t>
      </w:r>
      <w:r w:rsidR="00D95AC7" w:rsidRPr="00927AE7">
        <w:rPr>
          <w:sz w:val="22"/>
        </w:rPr>
        <w:t xml:space="preserve">Place comprises </w:t>
      </w:r>
      <w:r w:rsidR="00AB2323" w:rsidRPr="00927AE7">
        <w:rPr>
          <w:sz w:val="22"/>
        </w:rPr>
        <w:t xml:space="preserve">a complex of properties </w:t>
      </w:r>
      <w:r w:rsidR="00D95AC7" w:rsidRPr="00927AE7">
        <w:rPr>
          <w:sz w:val="22"/>
        </w:rPr>
        <w:t>at 376-392 Collins Street and 74-</w:t>
      </w:r>
      <w:r w:rsidR="00AB2323" w:rsidRPr="00927AE7">
        <w:rPr>
          <w:sz w:val="22"/>
        </w:rPr>
        <w:t>1</w:t>
      </w:r>
      <w:r w:rsidR="00D95AC7" w:rsidRPr="00927AE7">
        <w:rPr>
          <w:sz w:val="22"/>
        </w:rPr>
        <w:t>10 Queen Street Melbourne</w:t>
      </w:r>
      <w:r w:rsidR="000C3A53" w:rsidRPr="00927AE7">
        <w:rPr>
          <w:sz w:val="22"/>
        </w:rPr>
        <w:t>.</w:t>
      </w:r>
      <w:r w:rsidR="00D95AC7" w:rsidRPr="00927AE7">
        <w:rPr>
          <w:sz w:val="22"/>
        </w:rPr>
        <w:t xml:space="preserve"> The extent of the registration includes all of the exterior of the ANZ Bank</w:t>
      </w:r>
      <w:r w:rsidR="004D400F" w:rsidRPr="00927AE7">
        <w:rPr>
          <w:sz w:val="22"/>
        </w:rPr>
        <w:t xml:space="preserve"> building</w:t>
      </w:r>
      <w:r w:rsidR="00D95AC7" w:rsidRPr="00927AE7">
        <w:rPr>
          <w:sz w:val="22"/>
        </w:rPr>
        <w:t xml:space="preserve">, </w:t>
      </w:r>
      <w:r w:rsidR="00927AE7">
        <w:rPr>
          <w:sz w:val="22"/>
        </w:rPr>
        <w:t>comprising</w:t>
      </w:r>
      <w:r w:rsidR="00D95AC7" w:rsidRPr="00927AE7">
        <w:rPr>
          <w:sz w:val="22"/>
        </w:rPr>
        <w:t xml:space="preserve"> the </w:t>
      </w:r>
      <w:r w:rsidR="00AB2323" w:rsidRPr="00927AE7">
        <w:rPr>
          <w:sz w:val="22"/>
        </w:rPr>
        <w:t>‘</w:t>
      </w:r>
      <w:r w:rsidR="00D95AC7" w:rsidRPr="00927AE7">
        <w:rPr>
          <w:sz w:val="22"/>
        </w:rPr>
        <w:t>Gothic Bank</w:t>
      </w:r>
      <w:r w:rsidR="00AB2323" w:rsidRPr="00927AE7">
        <w:rPr>
          <w:sz w:val="22"/>
        </w:rPr>
        <w:t>’</w:t>
      </w:r>
      <w:r w:rsidR="004D400F" w:rsidRPr="00927AE7">
        <w:rPr>
          <w:sz w:val="22"/>
        </w:rPr>
        <w:t xml:space="preserve">, </w:t>
      </w:r>
      <w:r w:rsidR="00AB2323" w:rsidRPr="00927AE7">
        <w:rPr>
          <w:sz w:val="22"/>
        </w:rPr>
        <w:t>at 388 Collins Street (</w:t>
      </w:r>
      <w:r w:rsidR="00D95AC7" w:rsidRPr="00927AE7">
        <w:rPr>
          <w:sz w:val="22"/>
        </w:rPr>
        <w:t>on the north-eastern corner of t</w:t>
      </w:r>
      <w:r w:rsidR="004D400F" w:rsidRPr="00927AE7">
        <w:rPr>
          <w:sz w:val="22"/>
        </w:rPr>
        <w:t>h</w:t>
      </w:r>
      <w:r w:rsidR="00D95AC7" w:rsidRPr="00927AE7">
        <w:rPr>
          <w:sz w:val="22"/>
        </w:rPr>
        <w:t>e Collins and Queen Street intersection</w:t>
      </w:r>
      <w:r w:rsidR="00AB2323" w:rsidRPr="00927AE7">
        <w:rPr>
          <w:sz w:val="22"/>
        </w:rPr>
        <w:t xml:space="preserve">) and </w:t>
      </w:r>
      <w:r w:rsidR="00D95AC7" w:rsidRPr="00927AE7">
        <w:rPr>
          <w:sz w:val="22"/>
        </w:rPr>
        <w:t>the former St</w:t>
      </w:r>
      <w:r w:rsidR="00AB2323" w:rsidRPr="00927AE7">
        <w:rPr>
          <w:sz w:val="22"/>
        </w:rPr>
        <w:t>o</w:t>
      </w:r>
      <w:r w:rsidR="00D95AC7" w:rsidRPr="00927AE7">
        <w:rPr>
          <w:sz w:val="22"/>
        </w:rPr>
        <w:t>ck Exchange building abutting to the east</w:t>
      </w:r>
      <w:r w:rsidR="00AB2323" w:rsidRPr="00927AE7">
        <w:rPr>
          <w:sz w:val="22"/>
        </w:rPr>
        <w:t xml:space="preserve"> with frontage to Collins Street (380 Collins Street). The </w:t>
      </w:r>
      <w:r w:rsidR="00927AE7">
        <w:rPr>
          <w:sz w:val="22"/>
        </w:rPr>
        <w:t xml:space="preserve">internal </w:t>
      </w:r>
      <w:r w:rsidR="00AB2323" w:rsidRPr="00927AE7">
        <w:rPr>
          <w:sz w:val="22"/>
        </w:rPr>
        <w:t>regist</w:t>
      </w:r>
      <w:r w:rsidR="00927AE7">
        <w:rPr>
          <w:sz w:val="22"/>
        </w:rPr>
        <w:t>ered</w:t>
      </w:r>
      <w:r w:rsidR="00AB2323" w:rsidRPr="00927AE7">
        <w:rPr>
          <w:sz w:val="22"/>
        </w:rPr>
        <w:t xml:space="preserve"> area </w:t>
      </w:r>
      <w:r w:rsidR="00927AE7">
        <w:rPr>
          <w:sz w:val="22"/>
        </w:rPr>
        <w:t>is specified a</w:t>
      </w:r>
      <w:r w:rsidR="00AB2323" w:rsidRPr="00927AE7">
        <w:rPr>
          <w:sz w:val="22"/>
        </w:rPr>
        <w:t>s the banking chamber, the vaults and the former residence on the first and second floors</w:t>
      </w:r>
      <w:r w:rsidR="000C3A53" w:rsidRPr="00927AE7">
        <w:rPr>
          <w:sz w:val="22"/>
        </w:rPr>
        <w:t xml:space="preserve"> of the Gothic Bank</w:t>
      </w:r>
      <w:r w:rsidR="001A7FE7" w:rsidRPr="00927AE7">
        <w:rPr>
          <w:sz w:val="22"/>
        </w:rPr>
        <w:t>;</w:t>
      </w:r>
      <w:r w:rsidR="00AB2323" w:rsidRPr="00927AE7">
        <w:rPr>
          <w:sz w:val="22"/>
        </w:rPr>
        <w:t xml:space="preserve"> the Cathedral Room on the ground floor of the former Stock Exchange building</w:t>
      </w:r>
      <w:r w:rsidR="001A7FE7" w:rsidRPr="00927AE7">
        <w:rPr>
          <w:sz w:val="22"/>
        </w:rPr>
        <w:t>;</w:t>
      </w:r>
      <w:r w:rsidR="000C3A53" w:rsidRPr="00927AE7">
        <w:rPr>
          <w:sz w:val="22"/>
        </w:rPr>
        <w:t xml:space="preserve"> and the entrance way</w:t>
      </w:r>
      <w:r w:rsidR="003D76BD" w:rsidRPr="00927AE7">
        <w:rPr>
          <w:sz w:val="22"/>
        </w:rPr>
        <w:t xml:space="preserve"> </w:t>
      </w:r>
      <w:r w:rsidR="000C3A53" w:rsidRPr="00927AE7">
        <w:rPr>
          <w:sz w:val="22"/>
        </w:rPr>
        <w:t>(from Collins Street) into the</w:t>
      </w:r>
      <w:r w:rsidR="003956DB" w:rsidRPr="00927AE7">
        <w:rPr>
          <w:sz w:val="22"/>
        </w:rPr>
        <w:t xml:space="preserve"> now combined </w:t>
      </w:r>
      <w:r w:rsidR="000C3A53" w:rsidRPr="00927AE7">
        <w:rPr>
          <w:sz w:val="22"/>
        </w:rPr>
        <w:t>building area.</w:t>
      </w:r>
    </w:p>
    <w:p w14:paraId="5D735B5E" w14:textId="15570928" w:rsidR="00761232" w:rsidRDefault="000C3A53" w:rsidP="009A3C37">
      <w:pPr>
        <w:pStyle w:val="BP2"/>
        <w:numPr>
          <w:ilvl w:val="0"/>
          <w:numId w:val="3"/>
        </w:numPr>
        <w:tabs>
          <w:tab w:val="clear" w:pos="432"/>
          <w:tab w:val="left" w:pos="567"/>
        </w:tabs>
        <w:ind w:left="567" w:hanging="567"/>
        <w:rPr>
          <w:sz w:val="22"/>
        </w:rPr>
      </w:pPr>
      <w:r>
        <w:rPr>
          <w:sz w:val="22"/>
        </w:rPr>
        <w:t xml:space="preserve">The extent of registration </w:t>
      </w:r>
      <w:r w:rsidR="009229C9">
        <w:rPr>
          <w:sz w:val="22"/>
        </w:rPr>
        <w:t xml:space="preserve">is also specified as including </w:t>
      </w:r>
      <w:proofErr w:type="gramStart"/>
      <w:r w:rsidR="009229C9">
        <w:rPr>
          <w:sz w:val="22"/>
        </w:rPr>
        <w:t>all of</w:t>
      </w:r>
      <w:proofErr w:type="gramEnd"/>
      <w:r w:rsidR="009229C9">
        <w:rPr>
          <w:sz w:val="22"/>
        </w:rPr>
        <w:t xml:space="preserve"> the land in Land Title Volume 10026 Folio 319. </w:t>
      </w:r>
      <w:r w:rsidR="008B25DD">
        <w:rPr>
          <w:sz w:val="22"/>
        </w:rPr>
        <w:t>As well as the heritage buildings just described, t</w:t>
      </w:r>
      <w:r w:rsidR="009229C9">
        <w:rPr>
          <w:sz w:val="22"/>
        </w:rPr>
        <w:t xml:space="preserve">his </w:t>
      </w:r>
      <w:r>
        <w:rPr>
          <w:sz w:val="22"/>
        </w:rPr>
        <w:t xml:space="preserve">includes the site of the former ANZ Bank Tower at 100 Queen Street and the former Melbourne Safe Deposit Building at 90 Queen Street. The latter is separately registered as VHR H0451. </w:t>
      </w:r>
      <w:r w:rsidR="00234F73">
        <w:rPr>
          <w:sz w:val="22"/>
        </w:rPr>
        <w:t xml:space="preserve"> </w:t>
      </w:r>
    </w:p>
    <w:p w14:paraId="5EF298F9" w14:textId="06E44C46" w:rsidR="00C567F0" w:rsidRPr="00205AA3" w:rsidRDefault="00723E54" w:rsidP="009A3C37">
      <w:pPr>
        <w:pStyle w:val="BP2"/>
        <w:numPr>
          <w:ilvl w:val="0"/>
          <w:numId w:val="3"/>
        </w:numPr>
        <w:tabs>
          <w:tab w:val="clear" w:pos="432"/>
          <w:tab w:val="left" w:pos="567"/>
        </w:tabs>
        <w:ind w:left="567" w:hanging="567"/>
        <w:rPr>
          <w:sz w:val="22"/>
        </w:rPr>
      </w:pPr>
      <w:r>
        <w:rPr>
          <w:sz w:val="22"/>
        </w:rPr>
        <w:t>The following is</w:t>
      </w:r>
      <w:r w:rsidR="00361198">
        <w:rPr>
          <w:sz w:val="22"/>
        </w:rPr>
        <w:t xml:space="preserve"> </w:t>
      </w:r>
      <w:r w:rsidR="000C3A53">
        <w:rPr>
          <w:sz w:val="22"/>
        </w:rPr>
        <w:t>a description of the content and significance of the Place</w:t>
      </w:r>
      <w:r w:rsidR="003D76BD">
        <w:rPr>
          <w:sz w:val="22"/>
        </w:rPr>
        <w:t xml:space="preserve"> as registered</w:t>
      </w:r>
      <w:r w:rsidR="008C2A33">
        <w:rPr>
          <w:rStyle w:val="FootnoteReference"/>
          <w:sz w:val="22"/>
        </w:rPr>
        <w:footnoteReference w:id="2"/>
      </w:r>
      <w:r w:rsidR="009400F0">
        <w:rPr>
          <w:sz w:val="22"/>
        </w:rPr>
        <w:t>:</w:t>
      </w:r>
    </w:p>
    <w:p w14:paraId="6FE32911" w14:textId="6C9D05C0" w:rsidR="005E26A8" w:rsidRPr="00BD08C7" w:rsidRDefault="005E26A8" w:rsidP="005E26A8">
      <w:pPr>
        <w:pStyle w:val="BP2"/>
        <w:ind w:left="927"/>
        <w:rPr>
          <w:i/>
          <w:sz w:val="22"/>
        </w:rPr>
      </w:pPr>
      <w:r w:rsidRPr="00BD08C7">
        <w:rPr>
          <w:i/>
          <w:sz w:val="22"/>
        </w:rPr>
        <w:t>What is significant?</w:t>
      </w:r>
    </w:p>
    <w:p w14:paraId="61830681" w14:textId="6B1EBC30" w:rsidR="005E26A8" w:rsidRPr="00BD08C7" w:rsidRDefault="005E26A8" w:rsidP="00BD08C7">
      <w:pPr>
        <w:pStyle w:val="BP2"/>
        <w:ind w:left="927"/>
        <w:rPr>
          <w:i/>
          <w:sz w:val="22"/>
        </w:rPr>
      </w:pPr>
      <w:r w:rsidRPr="00BD08C7">
        <w:rPr>
          <w:i/>
          <w:sz w:val="22"/>
        </w:rPr>
        <w:t xml:space="preserve">The ANZ Bank building at 376-392 Collins Street Melbourne, is an amalgamation of two buildings: the former ES&amp;A 'Gothic' Bank, on the corner site, and the former Melbourne Stock Exchange, fronting Collins Street. While both these designs are specifically Gothic in style, their appearance is a demonstration of the two vastly contrasting Gothic revival developments in Melbourne during the 1880s and 1890s. The Gothic Bank was the first building to be constructed and is an example of the first Gothic style. It was designed by William Wardell, to </w:t>
      </w:r>
      <w:proofErr w:type="gramStart"/>
      <w:r w:rsidRPr="00BD08C7">
        <w:rPr>
          <w:i/>
          <w:sz w:val="22"/>
        </w:rPr>
        <w:t>fairly detailed</w:t>
      </w:r>
      <w:proofErr w:type="gramEnd"/>
      <w:r w:rsidRPr="00BD08C7">
        <w:rPr>
          <w:i/>
          <w:sz w:val="22"/>
        </w:rPr>
        <w:t xml:space="preserve"> specifications laid out by the General Manager, Sir George Verdon. The style is restrained externally, and internally graceful and ornate. It is secular Gothic, although Wardell had previously made a name for himself through church architecture. Goss &amp; Mason were the contractors and Alexander Todd was appointed as Clerk of Works. The works began in 1883 and the building was opened in May 1887, a year late. The final cost was over £77,000, almost twice the budget. The entire ground floor was established as the banking chamber, and the first and second floors as a residence for the General Manager. Sir George Verdon moved into the residence in 1888 and remained there until his retirement. In 1934 the Lyceum Club leased these rooms and used them until 1957.</w:t>
      </w:r>
    </w:p>
    <w:p w14:paraId="381B4E52" w14:textId="6E6FC7D7" w:rsidR="00E77827" w:rsidRPr="0058388A" w:rsidRDefault="005E26A8" w:rsidP="005E26A8">
      <w:pPr>
        <w:pStyle w:val="BP2"/>
        <w:tabs>
          <w:tab w:val="clear" w:pos="432"/>
        </w:tabs>
        <w:ind w:left="927"/>
        <w:rPr>
          <w:b/>
          <w:bCs/>
          <w:i/>
          <w:sz w:val="22"/>
        </w:rPr>
      </w:pPr>
      <w:r w:rsidRPr="00BD08C7">
        <w:rPr>
          <w:i/>
          <w:sz w:val="22"/>
        </w:rPr>
        <w:t xml:space="preserve">The former Stock Exchange was designed by the Melbourne architect William Pitt and was constructed in 1887. The style has been labelled Free Gothic and is far less restrained than the earlier building. The facade is extremely ornate and each level has been designed differently. Pitt was one of the best known executors of this new Gothic style in Melbourne, who at the time received criticism from more conservative designers. The total cost of the building, including the land, was </w:t>
      </w:r>
      <w:r w:rsidRPr="00BD08C7">
        <w:rPr>
          <w:i/>
          <w:sz w:val="22"/>
        </w:rPr>
        <w:lastRenderedPageBreak/>
        <w:t xml:space="preserve">£254,000. Overall the land purchase and building construction were a poor investment and in 1921 the Stock Exchange, due to financial difficulties, was forced to sell its property back to the ES&amp;A Bank for only £136,500. </w:t>
      </w:r>
      <w:r w:rsidRPr="0058388A">
        <w:rPr>
          <w:b/>
          <w:bCs/>
          <w:i/>
          <w:sz w:val="22"/>
        </w:rPr>
        <w:t>The main trading floor for the Stock Exchange was on the ground level in a large vaulted chamber, known as the Cathedral Room. This room was designed with the reverence and grace of a church, an impression emphasised by the vaulted roof and the stained glass windows. In 1923 the bank renovated the site to combine the two buildings, thus enlarging the Banking Chamber, leasing the offices and running the Safe Deposit.</w:t>
      </w:r>
    </w:p>
    <w:p w14:paraId="742FB0AF" w14:textId="6D79355A" w:rsidR="00FA69E9" w:rsidRPr="003E11D0" w:rsidRDefault="00FA69E9">
      <w:pPr>
        <w:pStyle w:val="BP2"/>
        <w:ind w:left="927"/>
        <w:rPr>
          <w:i/>
          <w:sz w:val="22"/>
        </w:rPr>
      </w:pPr>
      <w:r w:rsidRPr="003E11D0">
        <w:rPr>
          <w:i/>
          <w:sz w:val="22"/>
        </w:rPr>
        <w:t>How is it significant?</w:t>
      </w:r>
    </w:p>
    <w:p w14:paraId="09194ADB" w14:textId="41B398AD" w:rsidR="00FA69E9" w:rsidRPr="003E11D0" w:rsidRDefault="00FA69E9" w:rsidP="00FA69E9">
      <w:pPr>
        <w:pStyle w:val="BP2"/>
        <w:ind w:left="927"/>
        <w:rPr>
          <w:i/>
          <w:sz w:val="22"/>
        </w:rPr>
      </w:pPr>
      <w:r w:rsidRPr="003E11D0">
        <w:rPr>
          <w:i/>
          <w:sz w:val="22"/>
        </w:rPr>
        <w:t>The ANZ Bank at 376 - 392 Collins Street Melbourne is of architectural, historical and social significance to the State of Victoria.</w:t>
      </w:r>
    </w:p>
    <w:p w14:paraId="2A595A86" w14:textId="5C2BE19D" w:rsidR="00FA69E9" w:rsidRPr="003E11D0" w:rsidRDefault="00FA69E9" w:rsidP="00FA69E9">
      <w:pPr>
        <w:pStyle w:val="BP2"/>
        <w:ind w:left="927"/>
        <w:rPr>
          <w:i/>
          <w:sz w:val="22"/>
        </w:rPr>
      </w:pPr>
      <w:r w:rsidRPr="003E11D0">
        <w:rPr>
          <w:i/>
          <w:sz w:val="22"/>
        </w:rPr>
        <w:t>Why is it significant?</w:t>
      </w:r>
    </w:p>
    <w:p w14:paraId="33E00433" w14:textId="636770BF" w:rsidR="00FA69E9" w:rsidRPr="0058388A" w:rsidRDefault="00FA69E9" w:rsidP="00FA69E9">
      <w:pPr>
        <w:pStyle w:val="BP2"/>
        <w:ind w:left="927"/>
        <w:rPr>
          <w:b/>
          <w:bCs/>
          <w:i/>
          <w:sz w:val="22"/>
        </w:rPr>
      </w:pPr>
      <w:r w:rsidRPr="003E11D0">
        <w:rPr>
          <w:i/>
          <w:sz w:val="22"/>
        </w:rPr>
        <w:t xml:space="preserve">The ANZ Bank is architecturally significant as the first ES&amp;A Bank to be designed in the Gothic style that was to become a trademark for the banking corporation. It is also significant for the scale and ornate grandeur of both the interior and exterior, resulting in it being considered one of the finest buildings in Melbourne at the time of its construction. The Gothic Bank and former Stock Exchange are of architectural significance through their association with the prominent Melbourne architects William Wardell and William Pitt. The Verdon chambers within the Gothic Bank are architecturally significant for their extensive size and grandeur. The 1921 alterations to the bank are significant as they represent an interesting solution at the time in inner city expansion; that being renovation and interior redesign rather than rebuilding. </w:t>
      </w:r>
      <w:r w:rsidRPr="0058388A">
        <w:rPr>
          <w:b/>
          <w:bCs/>
          <w:i/>
          <w:sz w:val="22"/>
        </w:rPr>
        <w:t>The Cathedral Room within the Former Stock Exchange is architecturally significant as a largely original, and very ornate, example of a public business arena.</w:t>
      </w:r>
    </w:p>
    <w:p w14:paraId="16798D6D" w14:textId="41037285" w:rsidR="00FA69E9" w:rsidRPr="003E11D0" w:rsidRDefault="00FA69E9" w:rsidP="00FA69E9">
      <w:pPr>
        <w:pStyle w:val="BP2"/>
        <w:ind w:left="927"/>
        <w:rPr>
          <w:i/>
          <w:sz w:val="22"/>
        </w:rPr>
      </w:pPr>
      <w:r w:rsidRPr="003E11D0">
        <w:rPr>
          <w:i/>
          <w:sz w:val="22"/>
        </w:rPr>
        <w:t>The ANZ Bank is historically significant as the banking headquarters of the ES&amp;A Bank, positioned on a corner site within the centre of the banking precinct in Melbourne, which was the most important business centre at the time in Australia. This building is also significant for what it illustrates of the banking boom during the 1880s and the subsequent depression of the 1890s. The former stock exchange was built far beyond its means and was never able to recoup the financial outlay of the enormously expensive building. The former residence of the General Manager of the ES&amp;A Bank, on the first and second floors of the Gothic Bank, is significant as the only intact example of an inner city banking residence from the 1880s in Melbourne.</w:t>
      </w:r>
    </w:p>
    <w:p w14:paraId="18BDE95E" w14:textId="5D331A55" w:rsidR="00205AA3" w:rsidRDefault="00FA69E9" w:rsidP="00205AA3">
      <w:pPr>
        <w:pStyle w:val="BP2"/>
        <w:tabs>
          <w:tab w:val="clear" w:pos="432"/>
        </w:tabs>
        <w:ind w:left="927"/>
        <w:rPr>
          <w:i/>
          <w:sz w:val="22"/>
        </w:rPr>
      </w:pPr>
      <w:r w:rsidRPr="003E11D0">
        <w:rPr>
          <w:i/>
          <w:sz w:val="22"/>
        </w:rPr>
        <w:t>The Gothic bank is socially significant as the site of the Lyceum Club rooms for 32 years.</w:t>
      </w:r>
      <w:r w:rsidR="003E11D0">
        <w:rPr>
          <w:i/>
          <w:sz w:val="22"/>
        </w:rPr>
        <w:t xml:space="preserve"> </w:t>
      </w:r>
      <w:r w:rsidRPr="003E11D0">
        <w:rPr>
          <w:i/>
          <w:sz w:val="22"/>
        </w:rPr>
        <w:t>The Lyceum Club was established in 1912 for women who had demonstrated their ability or commitment to the areas of philanthropy, arts, community service, education, medicine or science, writing or music.</w:t>
      </w:r>
    </w:p>
    <w:p w14:paraId="18E7BD02" w14:textId="0423F602" w:rsidR="00602B37" w:rsidRDefault="00074497" w:rsidP="00F016C6">
      <w:pPr>
        <w:pStyle w:val="BP2"/>
        <w:tabs>
          <w:tab w:val="clear" w:pos="432"/>
        </w:tabs>
        <w:ind w:left="927"/>
        <w:rPr>
          <w:sz w:val="22"/>
        </w:rPr>
      </w:pPr>
      <w:r>
        <w:rPr>
          <w:sz w:val="22"/>
        </w:rPr>
        <w:t>(</w:t>
      </w:r>
      <w:r w:rsidR="00FE0E2D">
        <w:rPr>
          <w:sz w:val="22"/>
        </w:rPr>
        <w:t xml:space="preserve">Heritage Council </w:t>
      </w:r>
      <w:r w:rsidR="00C44CD7">
        <w:rPr>
          <w:sz w:val="22"/>
          <w:szCs w:val="22"/>
        </w:rPr>
        <w:t xml:space="preserve">Registrations and Reviews Committee </w:t>
      </w:r>
      <w:r w:rsidR="004E78B6">
        <w:rPr>
          <w:sz w:val="22"/>
          <w:szCs w:val="22"/>
        </w:rPr>
        <w:t>emphases)</w:t>
      </w:r>
      <w:r w:rsidR="00142478">
        <w:rPr>
          <w:sz w:val="22"/>
        </w:rPr>
        <w:t xml:space="preserve"> </w:t>
      </w:r>
      <w:r w:rsidR="00552FD6">
        <w:rPr>
          <w:sz w:val="22"/>
        </w:rPr>
        <w:t xml:space="preserve"> </w:t>
      </w:r>
    </w:p>
    <w:p w14:paraId="644D8DD8" w14:textId="248EE4AE" w:rsidR="00741094" w:rsidRDefault="00741094" w:rsidP="009A3C37">
      <w:pPr>
        <w:pStyle w:val="BP2"/>
        <w:numPr>
          <w:ilvl w:val="0"/>
          <w:numId w:val="3"/>
        </w:numPr>
        <w:tabs>
          <w:tab w:val="clear" w:pos="432"/>
          <w:tab w:val="left" w:pos="567"/>
        </w:tabs>
        <w:ind w:left="567" w:hanging="567"/>
        <w:rPr>
          <w:sz w:val="22"/>
        </w:rPr>
      </w:pPr>
      <w:r w:rsidRPr="00D7475B">
        <w:rPr>
          <w:sz w:val="22"/>
        </w:rPr>
        <w:t>The submission</w:t>
      </w:r>
      <w:r w:rsidR="00B852CE">
        <w:rPr>
          <w:sz w:val="22"/>
        </w:rPr>
        <w:t xml:space="preserve"> by the </w:t>
      </w:r>
      <w:r w:rsidR="00AB10A8">
        <w:rPr>
          <w:sz w:val="22"/>
        </w:rPr>
        <w:t>Executive Director</w:t>
      </w:r>
      <w:r w:rsidRPr="00D7475B">
        <w:rPr>
          <w:sz w:val="22"/>
        </w:rPr>
        <w:t xml:space="preserve"> to the </w:t>
      </w:r>
      <w:r w:rsidR="004D400F">
        <w:rPr>
          <w:sz w:val="22"/>
        </w:rPr>
        <w:t xml:space="preserve">Committee </w:t>
      </w:r>
      <w:r w:rsidRPr="00D7475B">
        <w:rPr>
          <w:sz w:val="22"/>
        </w:rPr>
        <w:t xml:space="preserve">hearing </w:t>
      </w:r>
      <w:r w:rsidR="004D400F">
        <w:rPr>
          <w:sz w:val="22"/>
        </w:rPr>
        <w:t xml:space="preserve">concerning this review </w:t>
      </w:r>
      <w:r w:rsidR="001A7FE7">
        <w:rPr>
          <w:sz w:val="22"/>
        </w:rPr>
        <w:t>include</w:t>
      </w:r>
      <w:r w:rsidR="00BA6714">
        <w:rPr>
          <w:sz w:val="22"/>
        </w:rPr>
        <w:t>d</w:t>
      </w:r>
      <w:r w:rsidRPr="00D7475B">
        <w:rPr>
          <w:sz w:val="22"/>
        </w:rPr>
        <w:t xml:space="preserve"> that th</w:t>
      </w:r>
      <w:r w:rsidR="001A7FE7">
        <w:rPr>
          <w:sz w:val="22"/>
        </w:rPr>
        <w:t>e</w:t>
      </w:r>
      <w:r w:rsidRPr="00D7475B">
        <w:rPr>
          <w:sz w:val="22"/>
        </w:rPr>
        <w:t xml:space="preserve"> information </w:t>
      </w:r>
      <w:r w:rsidR="006B305D">
        <w:rPr>
          <w:sz w:val="22"/>
        </w:rPr>
        <w:t xml:space="preserve">noted </w:t>
      </w:r>
      <w:r w:rsidR="001A7FE7">
        <w:rPr>
          <w:sz w:val="22"/>
        </w:rPr>
        <w:t xml:space="preserve">above </w:t>
      </w:r>
      <w:r w:rsidRPr="00D7475B">
        <w:rPr>
          <w:sz w:val="22"/>
        </w:rPr>
        <w:t xml:space="preserve">about the </w:t>
      </w:r>
      <w:r w:rsidR="003956DB">
        <w:rPr>
          <w:sz w:val="22"/>
        </w:rPr>
        <w:t xml:space="preserve">original </w:t>
      </w:r>
      <w:r>
        <w:rPr>
          <w:sz w:val="22"/>
        </w:rPr>
        <w:t xml:space="preserve">function of the </w:t>
      </w:r>
      <w:r w:rsidRPr="00D7475B">
        <w:rPr>
          <w:sz w:val="22"/>
        </w:rPr>
        <w:t xml:space="preserve">Cathedral Room </w:t>
      </w:r>
      <w:r w:rsidR="00B852CE">
        <w:rPr>
          <w:sz w:val="22"/>
        </w:rPr>
        <w:t xml:space="preserve">as the Stock Exchange trading room </w:t>
      </w:r>
      <w:r w:rsidRPr="00D7475B">
        <w:rPr>
          <w:sz w:val="22"/>
        </w:rPr>
        <w:t xml:space="preserve">is now recognised as incorrect. The trading </w:t>
      </w:r>
      <w:r w:rsidR="00307364">
        <w:rPr>
          <w:sz w:val="22"/>
        </w:rPr>
        <w:t>or call room</w:t>
      </w:r>
      <w:r w:rsidRPr="00D7475B">
        <w:rPr>
          <w:sz w:val="22"/>
        </w:rPr>
        <w:t xml:space="preserve"> of the Stock Exchange was </w:t>
      </w:r>
      <w:r>
        <w:rPr>
          <w:sz w:val="22"/>
        </w:rPr>
        <w:t xml:space="preserve">in fact located </w:t>
      </w:r>
      <w:r w:rsidRPr="00D7475B">
        <w:rPr>
          <w:sz w:val="22"/>
        </w:rPr>
        <w:t xml:space="preserve">on the </w:t>
      </w:r>
      <w:r w:rsidR="00B852CE">
        <w:rPr>
          <w:sz w:val="22"/>
        </w:rPr>
        <w:t>second</w:t>
      </w:r>
      <w:r w:rsidRPr="00D7475B">
        <w:rPr>
          <w:sz w:val="22"/>
        </w:rPr>
        <w:t xml:space="preserve"> floor </w:t>
      </w:r>
      <w:r w:rsidR="00B852CE">
        <w:rPr>
          <w:sz w:val="22"/>
        </w:rPr>
        <w:t xml:space="preserve">of the building </w:t>
      </w:r>
      <w:r w:rsidRPr="00D7475B">
        <w:rPr>
          <w:sz w:val="22"/>
        </w:rPr>
        <w:t xml:space="preserve">and the Cathedral Room was a meeting </w:t>
      </w:r>
      <w:r w:rsidR="00B852CE">
        <w:rPr>
          <w:sz w:val="22"/>
        </w:rPr>
        <w:t>hall</w:t>
      </w:r>
      <w:r w:rsidRPr="00D7475B">
        <w:rPr>
          <w:sz w:val="22"/>
        </w:rPr>
        <w:t xml:space="preserve"> for those attending the Stock Exchange </w:t>
      </w:r>
      <w:r w:rsidR="006B305D">
        <w:rPr>
          <w:sz w:val="22"/>
        </w:rPr>
        <w:t xml:space="preserve">situated </w:t>
      </w:r>
      <w:r>
        <w:rPr>
          <w:sz w:val="22"/>
        </w:rPr>
        <w:t>above.</w:t>
      </w:r>
    </w:p>
    <w:p w14:paraId="4560A30E" w14:textId="2FF724BB" w:rsidR="00D766CD" w:rsidRDefault="001A7FE7" w:rsidP="009A3C37">
      <w:pPr>
        <w:pStyle w:val="BP2"/>
        <w:numPr>
          <w:ilvl w:val="0"/>
          <w:numId w:val="3"/>
        </w:numPr>
        <w:tabs>
          <w:tab w:val="clear" w:pos="432"/>
          <w:tab w:val="left" w:pos="567"/>
        </w:tabs>
        <w:ind w:left="567" w:hanging="567"/>
        <w:rPr>
          <w:sz w:val="22"/>
        </w:rPr>
      </w:pPr>
      <w:r w:rsidRPr="0058388A">
        <w:rPr>
          <w:sz w:val="22"/>
        </w:rPr>
        <w:t xml:space="preserve">The </w:t>
      </w:r>
      <w:r w:rsidR="00D766CD">
        <w:rPr>
          <w:sz w:val="22"/>
        </w:rPr>
        <w:t xml:space="preserve">Place has been the subject of </w:t>
      </w:r>
      <w:proofErr w:type="gramStart"/>
      <w:r w:rsidR="00D766CD">
        <w:rPr>
          <w:sz w:val="22"/>
        </w:rPr>
        <w:t>a number of</w:t>
      </w:r>
      <w:proofErr w:type="gramEnd"/>
      <w:r w:rsidR="00D766CD">
        <w:rPr>
          <w:sz w:val="22"/>
        </w:rPr>
        <w:t xml:space="preserve"> alterations</w:t>
      </w:r>
      <w:r w:rsidR="009229C9">
        <w:rPr>
          <w:sz w:val="22"/>
        </w:rPr>
        <w:t>,</w:t>
      </w:r>
      <w:r w:rsidR="00D766CD">
        <w:rPr>
          <w:sz w:val="22"/>
        </w:rPr>
        <w:t xml:space="preserve"> most notably:</w:t>
      </w:r>
    </w:p>
    <w:p w14:paraId="035527D2" w14:textId="45B48884" w:rsidR="001A7FE7" w:rsidRPr="00D7475B" w:rsidRDefault="00DA0B1C" w:rsidP="009A3C37">
      <w:pPr>
        <w:pStyle w:val="FootnoteText"/>
        <w:numPr>
          <w:ilvl w:val="3"/>
          <w:numId w:val="3"/>
        </w:numPr>
        <w:spacing w:after="24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I</w:t>
      </w:r>
      <w:r w:rsidR="00D766CD">
        <w:rPr>
          <w:rFonts w:ascii="Arial" w:eastAsiaTheme="minorEastAsia" w:hAnsi="Arial" w:cs="Arial"/>
          <w:color w:val="323E48"/>
          <w:sz w:val="22"/>
          <w:szCs w:val="18"/>
          <w:lang w:val="en-US" w:bidi="hi-IN"/>
        </w:rPr>
        <w:t xml:space="preserve">n the early 1920s when the ground floors of the Stock Exchange and Gothic Bank buildings were amalgamated. The banking chamber was enlarged to </w:t>
      </w:r>
      <w:r w:rsidR="00D766CD">
        <w:rPr>
          <w:rFonts w:ascii="Arial" w:eastAsiaTheme="minorEastAsia" w:hAnsi="Arial" w:cs="Arial"/>
          <w:color w:val="323E48"/>
          <w:sz w:val="22"/>
          <w:szCs w:val="18"/>
          <w:lang w:val="en-US" w:bidi="hi-IN"/>
        </w:rPr>
        <w:lastRenderedPageBreak/>
        <w:t>extend into part of the original Stock Exchange building</w:t>
      </w:r>
      <w:r w:rsidR="00026819">
        <w:rPr>
          <w:rFonts w:ascii="Arial" w:eastAsiaTheme="minorEastAsia" w:hAnsi="Arial" w:cs="Arial"/>
          <w:color w:val="323E48"/>
          <w:sz w:val="22"/>
          <w:szCs w:val="18"/>
          <w:lang w:val="en-US" w:bidi="hi-IN"/>
        </w:rPr>
        <w:t xml:space="preserve">, resulting in the entry corridor being relocated further to the east. Lift shafts were also installed in the corridor at this time. In the Cathedral Room, two small rooms either side of the </w:t>
      </w:r>
      <w:r w:rsidR="006B305D">
        <w:rPr>
          <w:rFonts w:ascii="Arial" w:eastAsiaTheme="minorEastAsia" w:hAnsi="Arial" w:cs="Arial"/>
          <w:color w:val="323E48"/>
          <w:sz w:val="22"/>
          <w:szCs w:val="18"/>
          <w:lang w:val="en-US" w:bidi="hi-IN"/>
        </w:rPr>
        <w:t xml:space="preserve">central </w:t>
      </w:r>
      <w:r w:rsidR="00026819">
        <w:rPr>
          <w:rFonts w:ascii="Arial" w:eastAsiaTheme="minorEastAsia" w:hAnsi="Arial" w:cs="Arial"/>
          <w:color w:val="323E48"/>
          <w:sz w:val="22"/>
          <w:szCs w:val="18"/>
          <w:lang w:val="en-US" w:bidi="hi-IN"/>
        </w:rPr>
        <w:t xml:space="preserve">entry door </w:t>
      </w:r>
      <w:r w:rsidR="006B305D">
        <w:rPr>
          <w:rFonts w:ascii="Arial" w:eastAsiaTheme="minorEastAsia" w:hAnsi="Arial" w:cs="Arial"/>
          <w:color w:val="323E48"/>
          <w:sz w:val="22"/>
          <w:szCs w:val="18"/>
          <w:lang w:val="en-US" w:bidi="hi-IN"/>
        </w:rPr>
        <w:t>in</w:t>
      </w:r>
      <w:r w:rsidR="00026819">
        <w:rPr>
          <w:rFonts w:ascii="Arial" w:eastAsiaTheme="minorEastAsia" w:hAnsi="Arial" w:cs="Arial"/>
          <w:color w:val="323E48"/>
          <w:sz w:val="22"/>
          <w:szCs w:val="18"/>
          <w:lang w:val="en-US" w:bidi="hi-IN"/>
        </w:rPr>
        <w:t xml:space="preserve"> the southern wall were removed and the southern wall was reconfigured. Works above the Cathedral Room</w:t>
      </w:r>
      <w:r w:rsidR="00026819">
        <w:rPr>
          <w:rStyle w:val="FootnoteReference"/>
          <w:rFonts w:ascii="Arial" w:eastAsiaTheme="minorEastAsia" w:hAnsi="Arial" w:cs="Arial"/>
          <w:color w:val="323E48"/>
          <w:sz w:val="22"/>
          <w:szCs w:val="18"/>
          <w:lang w:val="en-US" w:bidi="hi-IN"/>
        </w:rPr>
        <w:footnoteReference w:id="3"/>
      </w:r>
      <w:r w:rsidR="00026819">
        <w:rPr>
          <w:rFonts w:ascii="Arial" w:eastAsiaTheme="minorEastAsia" w:hAnsi="Arial" w:cs="Arial"/>
          <w:color w:val="323E48"/>
          <w:sz w:val="22"/>
          <w:szCs w:val="18"/>
          <w:lang w:val="en-US" w:bidi="hi-IN"/>
        </w:rPr>
        <w:t xml:space="preserve"> also resulted in its skylight being lost and the three blind arches in the northern wall converted to windows </w:t>
      </w:r>
      <w:r w:rsidR="00307364">
        <w:rPr>
          <w:rFonts w:ascii="Arial" w:eastAsiaTheme="minorEastAsia" w:hAnsi="Arial" w:cs="Arial"/>
          <w:color w:val="323E48"/>
          <w:sz w:val="22"/>
          <w:szCs w:val="18"/>
          <w:lang w:val="en-US" w:bidi="hi-IN"/>
        </w:rPr>
        <w:t>to compensate for the loss of light</w:t>
      </w:r>
      <w:r w:rsidR="00A70317">
        <w:rPr>
          <w:rFonts w:ascii="Arial" w:eastAsiaTheme="minorEastAsia" w:hAnsi="Arial" w:cs="Arial"/>
          <w:color w:val="323E48"/>
          <w:sz w:val="22"/>
          <w:szCs w:val="18"/>
          <w:lang w:val="en-US" w:bidi="hi-IN"/>
        </w:rPr>
        <w:t>. A</w:t>
      </w:r>
      <w:r w:rsidR="00026819">
        <w:rPr>
          <w:rFonts w:ascii="Arial" w:eastAsiaTheme="minorEastAsia" w:hAnsi="Arial" w:cs="Arial"/>
          <w:color w:val="323E48"/>
          <w:sz w:val="22"/>
          <w:szCs w:val="18"/>
          <w:lang w:val="en-US" w:bidi="hi-IN"/>
        </w:rPr>
        <w:t xml:space="preserve">dditional light </w:t>
      </w:r>
      <w:r w:rsidR="00A70317">
        <w:rPr>
          <w:rFonts w:ascii="Arial" w:eastAsiaTheme="minorEastAsia" w:hAnsi="Arial" w:cs="Arial"/>
          <w:color w:val="323E48"/>
          <w:sz w:val="22"/>
          <w:szCs w:val="18"/>
          <w:lang w:val="en-US" w:bidi="hi-IN"/>
        </w:rPr>
        <w:t xml:space="preserve">for the room </w:t>
      </w:r>
      <w:r w:rsidR="00026819">
        <w:rPr>
          <w:rFonts w:ascii="Arial" w:eastAsiaTheme="minorEastAsia" w:hAnsi="Arial" w:cs="Arial"/>
          <w:color w:val="323E48"/>
          <w:sz w:val="22"/>
          <w:szCs w:val="18"/>
          <w:lang w:val="en-US" w:bidi="hi-IN"/>
        </w:rPr>
        <w:t xml:space="preserve">was also introduced by alterations to the window in the western wall. </w:t>
      </w:r>
      <w:r w:rsidR="00CB2A6D">
        <w:rPr>
          <w:rFonts w:ascii="Arial" w:eastAsiaTheme="minorEastAsia" w:hAnsi="Arial" w:cs="Arial"/>
          <w:color w:val="323E48"/>
          <w:sz w:val="22"/>
          <w:szCs w:val="18"/>
          <w:lang w:bidi="hi-IN"/>
        </w:rPr>
        <w:t xml:space="preserve">In addition, an original door </w:t>
      </w:r>
      <w:r w:rsidR="00CB2A6D" w:rsidRPr="008F07B7">
        <w:rPr>
          <w:rFonts w:ascii="Arial" w:eastAsiaTheme="minorEastAsia" w:hAnsi="Arial" w:cs="Arial"/>
          <w:color w:val="323E48"/>
          <w:sz w:val="22"/>
          <w:szCs w:val="18"/>
          <w:lang w:bidi="hi-IN"/>
        </w:rPr>
        <w:t>at the northern end of the western wall</w:t>
      </w:r>
      <w:r w:rsidR="00CB2A6D">
        <w:rPr>
          <w:rFonts w:ascii="Arial" w:eastAsiaTheme="minorEastAsia" w:hAnsi="Arial" w:cs="Arial"/>
          <w:color w:val="323E48"/>
          <w:sz w:val="22"/>
          <w:szCs w:val="18"/>
          <w:lang w:bidi="hi-IN"/>
        </w:rPr>
        <w:t xml:space="preserve"> was </w:t>
      </w:r>
      <w:proofErr w:type="gramStart"/>
      <w:r w:rsidR="00CB2A6D">
        <w:rPr>
          <w:rFonts w:ascii="Arial" w:eastAsiaTheme="minorEastAsia" w:hAnsi="Arial" w:cs="Arial"/>
          <w:color w:val="323E48"/>
          <w:sz w:val="22"/>
          <w:szCs w:val="18"/>
          <w:lang w:bidi="hi-IN"/>
        </w:rPr>
        <w:t>closed up</w:t>
      </w:r>
      <w:proofErr w:type="gramEnd"/>
      <w:r w:rsidR="00CB2A6D">
        <w:rPr>
          <w:rFonts w:ascii="Arial" w:eastAsiaTheme="minorEastAsia" w:hAnsi="Arial" w:cs="Arial"/>
          <w:color w:val="323E48"/>
          <w:sz w:val="22"/>
          <w:szCs w:val="18"/>
          <w:lang w:bidi="hi-IN"/>
        </w:rPr>
        <w:t>.</w:t>
      </w:r>
    </w:p>
    <w:p w14:paraId="018A3BEF" w14:textId="4A239622" w:rsidR="007B68B9" w:rsidRPr="009A3C37" w:rsidRDefault="00DA0B1C" w:rsidP="009A3C37">
      <w:pPr>
        <w:pStyle w:val="BP2"/>
        <w:numPr>
          <w:ilvl w:val="3"/>
          <w:numId w:val="3"/>
        </w:numPr>
        <w:tabs>
          <w:tab w:val="clear" w:pos="432"/>
        </w:tabs>
        <w:spacing w:after="240"/>
        <w:rPr>
          <w:sz w:val="22"/>
        </w:rPr>
      </w:pPr>
      <w:r>
        <w:rPr>
          <w:sz w:val="22"/>
        </w:rPr>
        <w:t>I</w:t>
      </w:r>
      <w:r w:rsidR="00307364">
        <w:rPr>
          <w:sz w:val="22"/>
        </w:rPr>
        <w:t xml:space="preserve">n the early 1990s following the granting of Permit </w:t>
      </w:r>
      <w:r w:rsidR="004D5B84">
        <w:rPr>
          <w:sz w:val="22"/>
        </w:rPr>
        <w:t xml:space="preserve">No. </w:t>
      </w:r>
      <w:r w:rsidR="00307364">
        <w:rPr>
          <w:sz w:val="22"/>
        </w:rPr>
        <w:t>P</w:t>
      </w:r>
      <w:r w:rsidR="00A70317">
        <w:rPr>
          <w:sz w:val="22"/>
        </w:rPr>
        <w:t>0</w:t>
      </w:r>
      <w:r w:rsidR="00307364">
        <w:rPr>
          <w:sz w:val="22"/>
        </w:rPr>
        <w:t>438</w:t>
      </w:r>
      <w:r w:rsidR="006B4C7E">
        <w:rPr>
          <w:sz w:val="22"/>
        </w:rPr>
        <w:t xml:space="preserve"> in October 1989</w:t>
      </w:r>
      <w:r w:rsidR="00307364">
        <w:rPr>
          <w:sz w:val="22"/>
        </w:rPr>
        <w:t>. The works included the development of the ANZ World Headquarters at 100 Queen Street. At this time</w:t>
      </w:r>
      <w:r w:rsidR="006B4C7E">
        <w:rPr>
          <w:sz w:val="22"/>
        </w:rPr>
        <w:t>,</w:t>
      </w:r>
      <w:r w:rsidR="00307364">
        <w:rPr>
          <w:sz w:val="22"/>
        </w:rPr>
        <w:t xml:space="preserve"> conservation and restoration works were undertaken to the Banking Chamber and </w:t>
      </w:r>
      <w:r w:rsidR="00CB2A6D">
        <w:rPr>
          <w:sz w:val="22"/>
          <w:lang w:val="en-AU"/>
        </w:rPr>
        <w:t>interpretive Gothic Revival form and fit out to the entrance hall</w:t>
      </w:r>
      <w:r w:rsidR="00E056AF">
        <w:rPr>
          <w:sz w:val="22"/>
          <w:lang w:val="en-AU"/>
        </w:rPr>
        <w:t xml:space="preserve"> of the Stock Exchange building</w:t>
      </w:r>
      <w:r w:rsidR="00307364">
        <w:rPr>
          <w:sz w:val="22"/>
        </w:rPr>
        <w:t xml:space="preserve">. In the Cathedral Room, </w:t>
      </w:r>
      <w:r w:rsidR="006B4C7E">
        <w:rPr>
          <w:sz w:val="22"/>
        </w:rPr>
        <w:t>works undertaken in the 1920s were reversed. T</w:t>
      </w:r>
      <w:r w:rsidR="00307364">
        <w:rPr>
          <w:sz w:val="22"/>
        </w:rPr>
        <w:t>he</w:t>
      </w:r>
      <w:r w:rsidR="006B4C7E">
        <w:rPr>
          <w:sz w:val="22"/>
        </w:rPr>
        <w:t xml:space="preserve"> works </w:t>
      </w:r>
      <w:r w:rsidR="009229C9">
        <w:rPr>
          <w:sz w:val="22"/>
        </w:rPr>
        <w:t xml:space="preserve">to </w:t>
      </w:r>
      <w:r w:rsidR="00E056AF">
        <w:rPr>
          <w:sz w:val="22"/>
        </w:rPr>
        <w:t>the Cathedral Room</w:t>
      </w:r>
      <w:r w:rsidR="009229C9">
        <w:rPr>
          <w:sz w:val="22"/>
        </w:rPr>
        <w:t xml:space="preserve"> </w:t>
      </w:r>
      <w:r w:rsidR="006B4C7E">
        <w:rPr>
          <w:sz w:val="22"/>
        </w:rPr>
        <w:t>included removal of an introduced stair in the north-east corner;</w:t>
      </w:r>
      <w:r w:rsidR="00307364">
        <w:rPr>
          <w:sz w:val="22"/>
        </w:rPr>
        <w:t xml:space="preserve"> </w:t>
      </w:r>
      <w:r w:rsidR="00CB2A6D">
        <w:rPr>
          <w:sz w:val="22"/>
        </w:rPr>
        <w:t xml:space="preserve">and </w:t>
      </w:r>
      <w:r w:rsidR="006B4C7E">
        <w:rPr>
          <w:sz w:val="22"/>
        </w:rPr>
        <w:t>removal of partitioning and office fit out</w:t>
      </w:r>
      <w:r w:rsidR="00CB2A6D">
        <w:rPr>
          <w:sz w:val="22"/>
        </w:rPr>
        <w:t>.</w:t>
      </w:r>
      <w:r w:rsidR="006B4C7E">
        <w:rPr>
          <w:sz w:val="22"/>
        </w:rPr>
        <w:t xml:space="preserve"> </w:t>
      </w:r>
      <w:r w:rsidR="009229C9">
        <w:rPr>
          <w:sz w:val="22"/>
        </w:rPr>
        <w:t>The g</w:t>
      </w:r>
      <w:r w:rsidR="00307364">
        <w:rPr>
          <w:sz w:val="22"/>
        </w:rPr>
        <w:t xml:space="preserve">lazing was removed from the three arches in the northern wall and </w:t>
      </w:r>
      <w:r w:rsidR="006B4C7E">
        <w:rPr>
          <w:sz w:val="22"/>
        </w:rPr>
        <w:t>they were restored to being blind windows</w:t>
      </w:r>
      <w:r w:rsidR="004D400F">
        <w:rPr>
          <w:sz w:val="22"/>
        </w:rPr>
        <w:t>.</w:t>
      </w:r>
      <w:r w:rsidR="00A70317">
        <w:rPr>
          <w:sz w:val="22"/>
        </w:rPr>
        <w:t xml:space="preserve"> </w:t>
      </w:r>
      <w:r w:rsidR="004D400F">
        <w:rPr>
          <w:sz w:val="22"/>
        </w:rPr>
        <w:t>A new tessellated</w:t>
      </w:r>
      <w:r w:rsidR="00CB2A6D">
        <w:rPr>
          <w:sz w:val="22"/>
        </w:rPr>
        <w:t xml:space="preserve"> tile</w:t>
      </w:r>
      <w:r w:rsidR="004D400F">
        <w:rPr>
          <w:sz w:val="22"/>
        </w:rPr>
        <w:t xml:space="preserve"> floor (</w:t>
      </w:r>
      <w:r w:rsidR="00CB2A6D">
        <w:rPr>
          <w:sz w:val="22"/>
        </w:rPr>
        <w:t xml:space="preserve">in a </w:t>
      </w:r>
      <w:proofErr w:type="spellStart"/>
      <w:r w:rsidR="00CB2A6D">
        <w:rPr>
          <w:sz w:val="22"/>
        </w:rPr>
        <w:t>colour</w:t>
      </w:r>
      <w:proofErr w:type="spellEnd"/>
      <w:r w:rsidR="004D400F">
        <w:rPr>
          <w:sz w:val="22"/>
        </w:rPr>
        <w:t xml:space="preserve"> </w:t>
      </w:r>
      <w:r w:rsidR="00CB2A6D">
        <w:rPr>
          <w:sz w:val="22"/>
        </w:rPr>
        <w:t xml:space="preserve">scheme </w:t>
      </w:r>
      <w:proofErr w:type="gramStart"/>
      <w:r w:rsidR="004D400F">
        <w:rPr>
          <w:sz w:val="22"/>
        </w:rPr>
        <w:t>similar to</w:t>
      </w:r>
      <w:proofErr w:type="gramEnd"/>
      <w:r w:rsidR="004D400F">
        <w:rPr>
          <w:sz w:val="22"/>
        </w:rPr>
        <w:t xml:space="preserve"> the original</w:t>
      </w:r>
      <w:r w:rsidR="00CB2A6D">
        <w:rPr>
          <w:sz w:val="22"/>
        </w:rPr>
        <w:t xml:space="preserve"> but with a different pattern</w:t>
      </w:r>
      <w:r w:rsidR="004D400F">
        <w:rPr>
          <w:sz w:val="22"/>
        </w:rPr>
        <w:t xml:space="preserve">) was laid in the Cathedral Room </w:t>
      </w:r>
      <w:r w:rsidR="00A70317">
        <w:rPr>
          <w:sz w:val="22"/>
        </w:rPr>
        <w:t>and r</w:t>
      </w:r>
      <w:r w:rsidR="006B4C7E">
        <w:rPr>
          <w:sz w:val="22"/>
        </w:rPr>
        <w:t xml:space="preserve">e-creation </w:t>
      </w:r>
      <w:r w:rsidR="00A70317">
        <w:rPr>
          <w:sz w:val="22"/>
        </w:rPr>
        <w:t>of</w:t>
      </w:r>
      <w:r w:rsidR="006B4C7E">
        <w:rPr>
          <w:sz w:val="22"/>
        </w:rPr>
        <w:t xml:space="preserve"> most of the </w:t>
      </w:r>
      <w:r w:rsidR="00CB2A6D">
        <w:rPr>
          <w:sz w:val="22"/>
        </w:rPr>
        <w:t xml:space="preserve">marble </w:t>
      </w:r>
      <w:r w:rsidR="006B4C7E">
        <w:rPr>
          <w:sz w:val="22"/>
        </w:rPr>
        <w:t xml:space="preserve">dado of the </w:t>
      </w:r>
      <w:r w:rsidR="00A70317">
        <w:rPr>
          <w:sz w:val="22"/>
        </w:rPr>
        <w:t>room occurred</w:t>
      </w:r>
      <w:r w:rsidR="006B4C7E">
        <w:rPr>
          <w:sz w:val="22"/>
        </w:rPr>
        <w:t xml:space="preserve"> at this time.</w:t>
      </w:r>
      <w:r w:rsidR="00A70317">
        <w:rPr>
          <w:sz w:val="22"/>
        </w:rPr>
        <w:t xml:space="preserve"> Contemporaneously, an agreement was made under section 173 of the </w:t>
      </w:r>
      <w:r w:rsidR="00A70317" w:rsidRPr="0058388A">
        <w:rPr>
          <w:i/>
          <w:iCs/>
          <w:sz w:val="22"/>
        </w:rPr>
        <w:t>Planning and Environment Act 1987</w:t>
      </w:r>
      <w:r w:rsidR="00A70317">
        <w:rPr>
          <w:sz w:val="22"/>
        </w:rPr>
        <w:t xml:space="preserve"> between the owner and the Minister ensuring public access to and through the heritage buildings.</w:t>
      </w:r>
    </w:p>
    <w:p w14:paraId="15C7C6C6" w14:textId="0EECF10F" w:rsidR="00300E6B" w:rsidRPr="00E648C5" w:rsidRDefault="00300E6B">
      <w:pPr>
        <w:pStyle w:val="H4"/>
        <w:spacing w:after="120"/>
        <w:rPr>
          <w:sz w:val="22"/>
        </w:rPr>
      </w:pPr>
      <w:r w:rsidRPr="00E648C5">
        <w:rPr>
          <w:sz w:val="22"/>
        </w:rPr>
        <w:t xml:space="preserve">THE PERMIT APPLICATION </w:t>
      </w:r>
    </w:p>
    <w:p w14:paraId="367C2E6D" w14:textId="72D6549D" w:rsidR="003A164B" w:rsidRDefault="00300E6B" w:rsidP="009A3C37">
      <w:pPr>
        <w:pStyle w:val="BP2"/>
        <w:numPr>
          <w:ilvl w:val="0"/>
          <w:numId w:val="3"/>
        </w:numPr>
        <w:tabs>
          <w:tab w:val="clear" w:pos="432"/>
          <w:tab w:val="left" w:pos="567"/>
        </w:tabs>
        <w:ind w:left="567" w:hanging="567"/>
        <w:rPr>
          <w:sz w:val="22"/>
        </w:rPr>
      </w:pPr>
      <w:r>
        <w:rPr>
          <w:sz w:val="22"/>
        </w:rPr>
        <w:t>On</w:t>
      </w:r>
      <w:r w:rsidR="00FB2914">
        <w:rPr>
          <w:sz w:val="22"/>
        </w:rPr>
        <w:t xml:space="preserve"> 5 September</w:t>
      </w:r>
      <w:r>
        <w:rPr>
          <w:sz w:val="22"/>
        </w:rPr>
        <w:t xml:space="preserve"> 2018</w:t>
      </w:r>
      <w:r w:rsidRPr="00300E6B">
        <w:rPr>
          <w:sz w:val="22"/>
        </w:rPr>
        <w:t xml:space="preserve">, the Permit Applicant made an application to the Executive Director pursuant to </w:t>
      </w:r>
      <w:r w:rsidR="00213D2B">
        <w:rPr>
          <w:sz w:val="22"/>
        </w:rPr>
        <w:t>section 93</w:t>
      </w:r>
      <w:r w:rsidRPr="00300E6B">
        <w:rPr>
          <w:sz w:val="22"/>
        </w:rPr>
        <w:t xml:space="preserve"> of the </w:t>
      </w:r>
      <w:r w:rsidR="00C378A6" w:rsidRPr="0058388A">
        <w:rPr>
          <w:sz w:val="22"/>
        </w:rPr>
        <w:t>Act</w:t>
      </w:r>
      <w:r w:rsidRPr="00C378A6">
        <w:rPr>
          <w:sz w:val="22"/>
        </w:rPr>
        <w:t xml:space="preserve"> </w:t>
      </w:r>
      <w:r w:rsidRPr="00300E6B">
        <w:rPr>
          <w:sz w:val="22"/>
        </w:rPr>
        <w:t xml:space="preserve">for a permit to undertake works </w:t>
      </w:r>
      <w:r w:rsidR="00995EB9">
        <w:rPr>
          <w:sz w:val="22"/>
        </w:rPr>
        <w:t>at the Place</w:t>
      </w:r>
      <w:r w:rsidR="003A164B">
        <w:rPr>
          <w:sz w:val="22"/>
        </w:rPr>
        <w:t>. The</w:t>
      </w:r>
      <w:r w:rsidR="005E1929">
        <w:rPr>
          <w:sz w:val="22"/>
        </w:rPr>
        <w:t xml:space="preserve"> </w:t>
      </w:r>
      <w:r w:rsidR="001A7FE7">
        <w:rPr>
          <w:sz w:val="22"/>
        </w:rPr>
        <w:t>a</w:t>
      </w:r>
      <w:r w:rsidR="005E1929">
        <w:rPr>
          <w:sz w:val="22"/>
        </w:rPr>
        <w:t xml:space="preserve">pplication was </w:t>
      </w:r>
      <w:r w:rsidR="003A164B">
        <w:rPr>
          <w:sz w:val="22"/>
        </w:rPr>
        <w:t xml:space="preserve">later </w:t>
      </w:r>
      <w:r w:rsidR="005E1929">
        <w:rPr>
          <w:sz w:val="22"/>
        </w:rPr>
        <w:t>amended</w:t>
      </w:r>
      <w:r w:rsidR="00406DD7">
        <w:rPr>
          <w:sz w:val="22"/>
        </w:rPr>
        <w:t xml:space="preserve"> on</w:t>
      </w:r>
      <w:r w:rsidR="005E1929">
        <w:rPr>
          <w:sz w:val="22"/>
        </w:rPr>
        <w:t xml:space="preserve"> </w:t>
      </w:r>
      <w:r w:rsidR="00E141B8">
        <w:rPr>
          <w:sz w:val="22"/>
        </w:rPr>
        <w:t>21 December 2018</w:t>
      </w:r>
      <w:r>
        <w:rPr>
          <w:sz w:val="22"/>
        </w:rPr>
        <w:t xml:space="preserve"> </w:t>
      </w:r>
      <w:r w:rsidRPr="00300E6B">
        <w:rPr>
          <w:sz w:val="22"/>
        </w:rPr>
        <w:t>(‘the Application’).</w:t>
      </w:r>
      <w:r w:rsidR="00EA1A12">
        <w:rPr>
          <w:sz w:val="22"/>
        </w:rPr>
        <w:t xml:space="preserve"> </w:t>
      </w:r>
      <w:r w:rsidR="003956DB">
        <w:rPr>
          <w:sz w:val="22"/>
        </w:rPr>
        <w:t xml:space="preserve">The works proposed included partial refurbishment of the buildings forming the Place and the adjacent outdoor spaces around and between them. Relevant to this </w:t>
      </w:r>
      <w:r w:rsidR="00E056AF">
        <w:rPr>
          <w:sz w:val="22"/>
        </w:rPr>
        <w:t>r</w:t>
      </w:r>
      <w:r w:rsidR="003956DB">
        <w:rPr>
          <w:sz w:val="22"/>
        </w:rPr>
        <w:t>eview, the</w:t>
      </w:r>
      <w:r w:rsidR="009229C9">
        <w:rPr>
          <w:sz w:val="22"/>
        </w:rPr>
        <w:t xml:space="preserve"> works</w:t>
      </w:r>
      <w:r w:rsidR="003956DB">
        <w:rPr>
          <w:sz w:val="22"/>
        </w:rPr>
        <w:t xml:space="preserve"> included the installation of new lifts and egress stairs for the former St</w:t>
      </w:r>
      <w:r w:rsidR="003A164B">
        <w:rPr>
          <w:sz w:val="22"/>
        </w:rPr>
        <w:t>o</w:t>
      </w:r>
      <w:r w:rsidR="003956DB">
        <w:rPr>
          <w:sz w:val="22"/>
        </w:rPr>
        <w:t>ck Exch</w:t>
      </w:r>
      <w:r w:rsidR="003A164B">
        <w:rPr>
          <w:sz w:val="22"/>
        </w:rPr>
        <w:t>a</w:t>
      </w:r>
      <w:r w:rsidR="003956DB">
        <w:rPr>
          <w:sz w:val="22"/>
        </w:rPr>
        <w:t>nge building, refurbishment of the access corridor from Collins Street, provision for universal access to the Cathedral Room</w:t>
      </w:r>
      <w:r w:rsidR="003A164B">
        <w:rPr>
          <w:sz w:val="22"/>
        </w:rPr>
        <w:t xml:space="preserve"> and levels above, and the installation of a new food and beverage tenancy in the Cathedral Room.</w:t>
      </w:r>
      <w:r w:rsidR="003956DB">
        <w:rPr>
          <w:sz w:val="22"/>
        </w:rPr>
        <w:t xml:space="preserve"> </w:t>
      </w:r>
    </w:p>
    <w:p w14:paraId="6CCC5C31" w14:textId="7310532B" w:rsidR="00300E6B" w:rsidRDefault="003A164B" w:rsidP="009A3C37">
      <w:pPr>
        <w:pStyle w:val="BP2"/>
        <w:numPr>
          <w:ilvl w:val="0"/>
          <w:numId w:val="3"/>
        </w:numPr>
        <w:tabs>
          <w:tab w:val="clear" w:pos="432"/>
          <w:tab w:val="left" w:pos="567"/>
        </w:tabs>
        <w:ind w:left="567" w:hanging="567"/>
        <w:rPr>
          <w:sz w:val="22"/>
        </w:rPr>
      </w:pPr>
      <w:r>
        <w:rPr>
          <w:sz w:val="22"/>
        </w:rPr>
        <w:t xml:space="preserve">Most pertinently for this </w:t>
      </w:r>
      <w:r w:rsidR="00E056AF">
        <w:rPr>
          <w:sz w:val="22"/>
        </w:rPr>
        <w:t>r</w:t>
      </w:r>
      <w:r>
        <w:rPr>
          <w:sz w:val="22"/>
        </w:rPr>
        <w:t xml:space="preserve">eview, the </w:t>
      </w:r>
      <w:r w:rsidR="005B7D38">
        <w:rPr>
          <w:sz w:val="22"/>
        </w:rPr>
        <w:t xml:space="preserve">Application included the following description of works proposed to the </w:t>
      </w:r>
      <w:r w:rsidR="00D62766">
        <w:rPr>
          <w:sz w:val="22"/>
        </w:rPr>
        <w:t>north</w:t>
      </w:r>
      <w:r w:rsidR="008C2A33">
        <w:rPr>
          <w:sz w:val="22"/>
        </w:rPr>
        <w:t>ern</w:t>
      </w:r>
      <w:r w:rsidR="00D62766">
        <w:rPr>
          <w:sz w:val="22"/>
        </w:rPr>
        <w:t xml:space="preserve"> </w:t>
      </w:r>
      <w:r w:rsidR="00F83110">
        <w:rPr>
          <w:sz w:val="22"/>
        </w:rPr>
        <w:t>wall</w:t>
      </w:r>
      <w:r w:rsidR="00D62766">
        <w:rPr>
          <w:sz w:val="22"/>
        </w:rPr>
        <w:t xml:space="preserve"> of the Cathedral Room:</w:t>
      </w:r>
    </w:p>
    <w:p w14:paraId="0BBEFED1" w14:textId="68A1BF28" w:rsidR="00D62766" w:rsidRPr="00D62766" w:rsidRDefault="00D62766" w:rsidP="00D62766">
      <w:pPr>
        <w:pStyle w:val="BP2"/>
        <w:numPr>
          <w:ilvl w:val="0"/>
          <w:numId w:val="24"/>
        </w:numPr>
        <w:tabs>
          <w:tab w:val="clear" w:pos="432"/>
        </w:tabs>
        <w:rPr>
          <w:i/>
          <w:sz w:val="22"/>
        </w:rPr>
      </w:pPr>
      <w:r>
        <w:rPr>
          <w:i/>
          <w:sz w:val="22"/>
        </w:rPr>
        <w:t xml:space="preserve">Create a new entry and new fenestration </w:t>
      </w:r>
      <w:r w:rsidR="00A97E12">
        <w:rPr>
          <w:i/>
          <w:sz w:val="22"/>
        </w:rPr>
        <w:t xml:space="preserve">to the northern end of </w:t>
      </w:r>
      <w:r w:rsidR="008B25DD">
        <w:rPr>
          <w:i/>
          <w:sz w:val="22"/>
        </w:rPr>
        <w:t xml:space="preserve">the </w:t>
      </w:r>
      <w:r w:rsidR="00A97E12">
        <w:rPr>
          <w:i/>
          <w:sz w:val="22"/>
        </w:rPr>
        <w:t>Cathedral Room</w:t>
      </w:r>
      <w:r w:rsidR="003D76BD">
        <w:rPr>
          <w:i/>
          <w:sz w:val="22"/>
        </w:rPr>
        <w:t>.</w:t>
      </w:r>
    </w:p>
    <w:p w14:paraId="49BC53FA" w14:textId="3B2C2534" w:rsidR="004816B2" w:rsidRPr="006835D4" w:rsidRDefault="00EB6A6B" w:rsidP="006835D4">
      <w:pPr>
        <w:pStyle w:val="H4"/>
        <w:spacing w:after="120"/>
        <w:rPr>
          <w:sz w:val="22"/>
        </w:rPr>
      </w:pPr>
      <w:r>
        <w:rPr>
          <w:sz w:val="22"/>
        </w:rPr>
        <w:t>DETERMINATION</w:t>
      </w:r>
      <w:r w:rsidR="00402903" w:rsidRPr="00402903">
        <w:rPr>
          <w:sz w:val="22"/>
        </w:rPr>
        <w:t xml:space="preserve"> of the Executive Director</w:t>
      </w:r>
      <w:r w:rsidR="0060017B">
        <w:rPr>
          <w:sz w:val="22"/>
        </w:rPr>
        <w:t xml:space="preserve"> </w:t>
      </w:r>
    </w:p>
    <w:p w14:paraId="1027EB6B" w14:textId="77777777" w:rsidR="009A3C37" w:rsidRDefault="006835D4" w:rsidP="009A3C37">
      <w:pPr>
        <w:pStyle w:val="BP2"/>
        <w:numPr>
          <w:ilvl w:val="0"/>
          <w:numId w:val="3"/>
        </w:numPr>
        <w:tabs>
          <w:tab w:val="clear" w:pos="432"/>
          <w:tab w:val="left" w:pos="567"/>
        </w:tabs>
        <w:ind w:left="567" w:hanging="567"/>
        <w:rPr>
          <w:sz w:val="22"/>
        </w:rPr>
      </w:pPr>
      <w:r w:rsidRPr="00882FA2">
        <w:rPr>
          <w:sz w:val="22"/>
        </w:rPr>
        <w:t xml:space="preserve">On </w:t>
      </w:r>
      <w:r w:rsidR="003D06FA" w:rsidRPr="00882FA2">
        <w:rPr>
          <w:sz w:val="22"/>
        </w:rPr>
        <w:t>15 March 2019</w:t>
      </w:r>
      <w:r w:rsidRPr="0080408F">
        <w:rPr>
          <w:sz w:val="22"/>
        </w:rPr>
        <w:t>, the Executive Director determined</w:t>
      </w:r>
      <w:r w:rsidR="0006172A" w:rsidRPr="0080408F">
        <w:rPr>
          <w:sz w:val="22"/>
        </w:rPr>
        <w:t>,</w:t>
      </w:r>
      <w:r w:rsidRPr="0080408F">
        <w:rPr>
          <w:sz w:val="22"/>
        </w:rPr>
        <w:t xml:space="preserve"> pursuant to section </w:t>
      </w:r>
      <w:r w:rsidR="0006172A" w:rsidRPr="00817391">
        <w:rPr>
          <w:sz w:val="22"/>
        </w:rPr>
        <w:t>101(1)(ii)</w:t>
      </w:r>
      <w:r w:rsidRPr="00817391">
        <w:rPr>
          <w:sz w:val="22"/>
        </w:rPr>
        <w:t xml:space="preserve"> of the Act</w:t>
      </w:r>
      <w:r w:rsidR="0006172A" w:rsidRPr="0058388A">
        <w:rPr>
          <w:sz w:val="22"/>
        </w:rPr>
        <w:t>,</w:t>
      </w:r>
      <w:r w:rsidRPr="0058388A">
        <w:rPr>
          <w:sz w:val="22"/>
        </w:rPr>
        <w:t xml:space="preserve"> to issue </w:t>
      </w:r>
      <w:r w:rsidR="004D5B84" w:rsidRPr="0058388A">
        <w:rPr>
          <w:sz w:val="22"/>
        </w:rPr>
        <w:t>Permit No.</w:t>
      </w:r>
      <w:r w:rsidR="00794333">
        <w:rPr>
          <w:sz w:val="22"/>
        </w:rPr>
        <w:t xml:space="preserve"> </w:t>
      </w:r>
      <w:r w:rsidR="00542EFC" w:rsidRPr="0058388A">
        <w:rPr>
          <w:sz w:val="22"/>
        </w:rPr>
        <w:t>P29660</w:t>
      </w:r>
      <w:r w:rsidR="003A164B" w:rsidRPr="0058388A">
        <w:rPr>
          <w:sz w:val="22"/>
        </w:rPr>
        <w:t xml:space="preserve">. The </w:t>
      </w:r>
      <w:r w:rsidR="00E648C5">
        <w:rPr>
          <w:sz w:val="22"/>
        </w:rPr>
        <w:t xml:space="preserve">works allowed by the </w:t>
      </w:r>
      <w:r w:rsidR="003A164B" w:rsidRPr="00882FA2">
        <w:rPr>
          <w:sz w:val="22"/>
        </w:rPr>
        <w:t>permit w</w:t>
      </w:r>
      <w:r w:rsidR="00E648C5">
        <w:rPr>
          <w:sz w:val="22"/>
        </w:rPr>
        <w:t>ere</w:t>
      </w:r>
      <w:r w:rsidR="00542EFC" w:rsidRPr="00882FA2">
        <w:rPr>
          <w:sz w:val="22"/>
        </w:rPr>
        <w:t xml:space="preserve"> </w:t>
      </w:r>
      <w:r w:rsidR="00C378A6">
        <w:rPr>
          <w:sz w:val="22"/>
        </w:rPr>
        <w:t xml:space="preserve">generally </w:t>
      </w:r>
      <w:r w:rsidR="003A164B" w:rsidRPr="00882FA2">
        <w:rPr>
          <w:sz w:val="22"/>
        </w:rPr>
        <w:t xml:space="preserve">consistent with </w:t>
      </w:r>
      <w:r w:rsidR="00E648C5">
        <w:rPr>
          <w:sz w:val="22"/>
        </w:rPr>
        <w:t xml:space="preserve">those comprising </w:t>
      </w:r>
      <w:r w:rsidRPr="00882FA2">
        <w:rPr>
          <w:sz w:val="22"/>
        </w:rPr>
        <w:t>the Application</w:t>
      </w:r>
      <w:r w:rsidR="00E648C5">
        <w:rPr>
          <w:sz w:val="22"/>
        </w:rPr>
        <w:t xml:space="preserve">. The permit </w:t>
      </w:r>
      <w:r w:rsidR="00B852CE" w:rsidRPr="00882FA2">
        <w:rPr>
          <w:sz w:val="22"/>
        </w:rPr>
        <w:t xml:space="preserve">contained </w:t>
      </w:r>
      <w:proofErr w:type="gramStart"/>
      <w:r w:rsidR="00B852CE" w:rsidRPr="00882FA2">
        <w:rPr>
          <w:sz w:val="22"/>
        </w:rPr>
        <w:t>a number of</w:t>
      </w:r>
      <w:proofErr w:type="gramEnd"/>
      <w:r w:rsidR="00B852CE" w:rsidRPr="00882FA2">
        <w:rPr>
          <w:sz w:val="22"/>
        </w:rPr>
        <w:t xml:space="preserve"> conditions</w:t>
      </w:r>
      <w:r w:rsidR="00C378A6">
        <w:rPr>
          <w:sz w:val="22"/>
        </w:rPr>
        <w:t xml:space="preserve"> principally relating to heritage management.</w:t>
      </w:r>
    </w:p>
    <w:p w14:paraId="430968BB" w14:textId="79B90703" w:rsidR="00300E6B" w:rsidRPr="009A3C37" w:rsidRDefault="009A3C37" w:rsidP="009A3C37">
      <w:pPr>
        <w:pStyle w:val="BP2"/>
        <w:numPr>
          <w:ilvl w:val="0"/>
          <w:numId w:val="3"/>
        </w:numPr>
        <w:tabs>
          <w:tab w:val="clear" w:pos="432"/>
          <w:tab w:val="left" w:pos="567"/>
        </w:tabs>
        <w:ind w:left="567" w:hanging="567"/>
        <w:rPr>
          <w:sz w:val="22"/>
        </w:rPr>
      </w:pPr>
      <w:r w:rsidRPr="009A3C37">
        <w:rPr>
          <w:sz w:val="22"/>
        </w:rPr>
        <w:t>C</w:t>
      </w:r>
      <w:r w:rsidR="00300E6B" w:rsidRPr="009A3C37">
        <w:rPr>
          <w:sz w:val="22"/>
        </w:rPr>
        <w:t xml:space="preserve">ondition 2 </w:t>
      </w:r>
      <w:r w:rsidR="00707C32" w:rsidRPr="009A3C37">
        <w:rPr>
          <w:sz w:val="22"/>
        </w:rPr>
        <w:t xml:space="preserve">which is the subject of the review </w:t>
      </w:r>
      <w:r w:rsidR="00C378A6" w:rsidRPr="009A3C37">
        <w:rPr>
          <w:sz w:val="22"/>
        </w:rPr>
        <w:t>was the only condition requiring a change to the works</w:t>
      </w:r>
      <w:r w:rsidR="00404B61">
        <w:rPr>
          <w:sz w:val="22"/>
        </w:rPr>
        <w:t xml:space="preserve"> proposed by the Application</w:t>
      </w:r>
      <w:r w:rsidR="00C378A6" w:rsidRPr="009A3C37">
        <w:rPr>
          <w:sz w:val="22"/>
        </w:rPr>
        <w:t xml:space="preserve">. It </w:t>
      </w:r>
      <w:r w:rsidR="00707C32" w:rsidRPr="009A3C37">
        <w:rPr>
          <w:sz w:val="22"/>
        </w:rPr>
        <w:t>provides</w:t>
      </w:r>
      <w:r w:rsidR="00300E6B" w:rsidRPr="009A3C37">
        <w:rPr>
          <w:sz w:val="22"/>
        </w:rPr>
        <w:t>:</w:t>
      </w:r>
    </w:p>
    <w:p w14:paraId="1DE5750A" w14:textId="5FEDA74C" w:rsidR="003519D1" w:rsidRPr="003519D1" w:rsidRDefault="0015444C" w:rsidP="00A97E12">
      <w:pPr>
        <w:pStyle w:val="BP2"/>
        <w:tabs>
          <w:tab w:val="clear" w:pos="432"/>
        </w:tabs>
        <w:ind w:left="720"/>
        <w:rPr>
          <w:i/>
          <w:sz w:val="22"/>
        </w:rPr>
      </w:pPr>
      <w:r>
        <w:rPr>
          <w:i/>
          <w:sz w:val="22"/>
        </w:rPr>
        <w:lastRenderedPageBreak/>
        <w:t>Prior to</w:t>
      </w:r>
      <w:r w:rsidR="008F62DA">
        <w:rPr>
          <w:i/>
          <w:sz w:val="22"/>
        </w:rPr>
        <w:t xml:space="preserve"> the commencement of </w:t>
      </w:r>
      <w:r w:rsidR="00C93968">
        <w:rPr>
          <w:i/>
          <w:sz w:val="22"/>
        </w:rPr>
        <w:t xml:space="preserve">any works </w:t>
      </w:r>
      <w:r w:rsidR="00E251AB">
        <w:rPr>
          <w:i/>
          <w:sz w:val="22"/>
        </w:rPr>
        <w:t>approved by the permit, a revised tender ready set of drawings and design drawings including any materials specification</w:t>
      </w:r>
      <w:r w:rsidR="005C6505">
        <w:rPr>
          <w:i/>
          <w:sz w:val="22"/>
        </w:rPr>
        <w:t>s</w:t>
      </w:r>
      <w:r w:rsidR="00E251AB">
        <w:rPr>
          <w:i/>
          <w:sz w:val="22"/>
        </w:rPr>
        <w:t xml:space="preserve"> is to be submitted to the Executive Director for written approval</w:t>
      </w:r>
      <w:r w:rsidR="00A41D21">
        <w:rPr>
          <w:i/>
          <w:sz w:val="22"/>
        </w:rPr>
        <w:t>. The drawings must be revised to show the deletion of the new entry and new fenestration to the northern end of the Cathedral Room.</w:t>
      </w:r>
      <w:r>
        <w:rPr>
          <w:i/>
          <w:sz w:val="22"/>
        </w:rPr>
        <w:t xml:space="preserve"> </w:t>
      </w:r>
      <w:r w:rsidR="003519D1">
        <w:rPr>
          <w:i/>
          <w:sz w:val="22"/>
        </w:rPr>
        <w:t xml:space="preserve"> </w:t>
      </w:r>
      <w:r w:rsidR="003519D1" w:rsidRPr="003519D1">
        <w:rPr>
          <w:i/>
          <w:sz w:val="22"/>
        </w:rPr>
        <w:t xml:space="preserve"> </w:t>
      </w:r>
    </w:p>
    <w:p w14:paraId="25D1094C" w14:textId="721D55A5" w:rsidR="006835D4" w:rsidRPr="006835D4" w:rsidRDefault="006835D4" w:rsidP="006835D4">
      <w:pPr>
        <w:pStyle w:val="H4"/>
        <w:spacing w:after="120"/>
        <w:rPr>
          <w:sz w:val="22"/>
        </w:rPr>
      </w:pPr>
      <w:r>
        <w:rPr>
          <w:sz w:val="22"/>
        </w:rPr>
        <w:t>THE REVIEW</w:t>
      </w:r>
      <w:r w:rsidR="00575DDA">
        <w:rPr>
          <w:sz w:val="22"/>
        </w:rPr>
        <w:t xml:space="preserve"> request</w:t>
      </w:r>
    </w:p>
    <w:p w14:paraId="280BCE21" w14:textId="5B758D5E" w:rsidR="003E0F2B" w:rsidRDefault="3AB8B1F8" w:rsidP="009A3C37">
      <w:pPr>
        <w:pStyle w:val="BP2"/>
        <w:numPr>
          <w:ilvl w:val="0"/>
          <w:numId w:val="3"/>
        </w:numPr>
        <w:tabs>
          <w:tab w:val="clear" w:pos="432"/>
          <w:tab w:val="left" w:pos="567"/>
        </w:tabs>
        <w:ind w:left="567" w:hanging="567"/>
        <w:rPr>
          <w:sz w:val="22"/>
          <w:szCs w:val="22"/>
        </w:rPr>
      </w:pPr>
      <w:r w:rsidRPr="3AB8B1F8">
        <w:rPr>
          <w:sz w:val="22"/>
          <w:szCs w:val="22"/>
        </w:rPr>
        <w:t>On</w:t>
      </w:r>
      <w:r w:rsidR="00FE4DA6">
        <w:rPr>
          <w:sz w:val="22"/>
          <w:szCs w:val="22"/>
        </w:rPr>
        <w:t xml:space="preserve"> </w:t>
      </w:r>
      <w:r w:rsidR="00A30B57">
        <w:rPr>
          <w:sz w:val="22"/>
          <w:szCs w:val="22"/>
        </w:rPr>
        <w:t>9 May 2019</w:t>
      </w:r>
      <w:r w:rsidRPr="3AB8B1F8">
        <w:rPr>
          <w:sz w:val="22"/>
          <w:szCs w:val="22"/>
        </w:rPr>
        <w:t xml:space="preserve">, the Heritage Council received </w:t>
      </w:r>
      <w:r w:rsidR="00244550">
        <w:rPr>
          <w:sz w:val="22"/>
          <w:szCs w:val="22"/>
        </w:rPr>
        <w:t>a request from the</w:t>
      </w:r>
      <w:r w:rsidRPr="3AB8B1F8">
        <w:rPr>
          <w:sz w:val="22"/>
          <w:szCs w:val="22"/>
        </w:rPr>
        <w:t xml:space="preserve"> Permit Applicant </w:t>
      </w:r>
      <w:r w:rsidR="00244550">
        <w:rPr>
          <w:sz w:val="22"/>
          <w:szCs w:val="22"/>
        </w:rPr>
        <w:t>for a</w:t>
      </w:r>
      <w:r w:rsidRPr="3AB8B1F8">
        <w:rPr>
          <w:sz w:val="22"/>
          <w:szCs w:val="22"/>
        </w:rPr>
        <w:t xml:space="preserve"> review </w:t>
      </w:r>
      <w:r w:rsidR="003A164B">
        <w:rPr>
          <w:sz w:val="22"/>
          <w:szCs w:val="22"/>
        </w:rPr>
        <w:t>hearing relating to</w:t>
      </w:r>
      <w:r w:rsidRPr="3AB8B1F8">
        <w:rPr>
          <w:sz w:val="22"/>
          <w:szCs w:val="22"/>
        </w:rPr>
        <w:t xml:space="preserve"> the </w:t>
      </w:r>
      <w:r w:rsidR="00AB10A8">
        <w:rPr>
          <w:sz w:val="22"/>
          <w:szCs w:val="22"/>
        </w:rPr>
        <w:t>Executive Director</w:t>
      </w:r>
      <w:r w:rsidR="003A164B">
        <w:rPr>
          <w:sz w:val="22"/>
          <w:szCs w:val="22"/>
        </w:rPr>
        <w:t xml:space="preserve">’s </w:t>
      </w:r>
      <w:r w:rsidRPr="3AB8B1F8">
        <w:rPr>
          <w:sz w:val="22"/>
          <w:szCs w:val="22"/>
        </w:rPr>
        <w:t>Determination</w:t>
      </w:r>
      <w:r w:rsidR="003A164B">
        <w:rPr>
          <w:sz w:val="22"/>
          <w:szCs w:val="22"/>
        </w:rPr>
        <w:t>,</w:t>
      </w:r>
      <w:r w:rsidRPr="3AB8B1F8">
        <w:rPr>
          <w:sz w:val="22"/>
          <w:szCs w:val="22"/>
        </w:rPr>
        <w:t xml:space="preserve"> </w:t>
      </w:r>
      <w:r w:rsidR="004C6C72">
        <w:rPr>
          <w:sz w:val="22"/>
          <w:szCs w:val="22"/>
        </w:rPr>
        <w:t>specifically in relation to Condition 2</w:t>
      </w:r>
      <w:r w:rsidR="003A164B">
        <w:rPr>
          <w:sz w:val="22"/>
          <w:szCs w:val="22"/>
        </w:rPr>
        <w:t>.</w:t>
      </w:r>
      <w:r w:rsidR="00ED6144">
        <w:rPr>
          <w:sz w:val="22"/>
          <w:szCs w:val="22"/>
        </w:rPr>
        <w:t xml:space="preserve"> The </w:t>
      </w:r>
      <w:r w:rsidR="00B76A4D">
        <w:rPr>
          <w:sz w:val="22"/>
          <w:szCs w:val="22"/>
        </w:rPr>
        <w:t xml:space="preserve">Permit Applicant sought </w:t>
      </w:r>
      <w:r w:rsidR="00E648C5">
        <w:rPr>
          <w:sz w:val="22"/>
          <w:szCs w:val="22"/>
        </w:rPr>
        <w:t xml:space="preserve">a </w:t>
      </w:r>
      <w:r w:rsidR="00822399">
        <w:rPr>
          <w:sz w:val="22"/>
          <w:szCs w:val="22"/>
        </w:rPr>
        <w:t>r</w:t>
      </w:r>
      <w:r w:rsidR="00B76A4D">
        <w:rPr>
          <w:sz w:val="22"/>
          <w:szCs w:val="22"/>
        </w:rPr>
        <w:t xml:space="preserve">eview </w:t>
      </w:r>
      <w:r w:rsidR="00822399">
        <w:rPr>
          <w:sz w:val="22"/>
          <w:szCs w:val="22"/>
        </w:rPr>
        <w:t>of</w:t>
      </w:r>
      <w:r w:rsidR="00742786">
        <w:rPr>
          <w:sz w:val="22"/>
          <w:szCs w:val="22"/>
        </w:rPr>
        <w:t xml:space="preserve"> the wording of Condition 2</w:t>
      </w:r>
      <w:r w:rsidR="00E01300">
        <w:rPr>
          <w:sz w:val="22"/>
          <w:szCs w:val="22"/>
        </w:rPr>
        <w:t xml:space="preserve"> </w:t>
      </w:r>
      <w:r w:rsidR="001437FF">
        <w:rPr>
          <w:sz w:val="22"/>
          <w:szCs w:val="22"/>
        </w:rPr>
        <w:t>in order to</w:t>
      </w:r>
      <w:r w:rsidR="00E01300">
        <w:rPr>
          <w:sz w:val="22"/>
          <w:szCs w:val="22"/>
        </w:rPr>
        <w:t xml:space="preserve"> allow a proposed new entry to the </w:t>
      </w:r>
      <w:r w:rsidR="00BF2C7C">
        <w:rPr>
          <w:sz w:val="22"/>
          <w:szCs w:val="22"/>
        </w:rPr>
        <w:t>Cathedral Room (‘the proposed works’)</w:t>
      </w:r>
      <w:r w:rsidR="00742786">
        <w:rPr>
          <w:sz w:val="22"/>
          <w:szCs w:val="22"/>
        </w:rPr>
        <w:t xml:space="preserve"> </w:t>
      </w:r>
      <w:r w:rsidR="005353E7">
        <w:rPr>
          <w:sz w:val="22"/>
          <w:szCs w:val="22"/>
        </w:rPr>
        <w:t xml:space="preserve">and </w:t>
      </w:r>
      <w:r w:rsidR="00A06D15">
        <w:rPr>
          <w:sz w:val="22"/>
          <w:szCs w:val="22"/>
        </w:rPr>
        <w:t xml:space="preserve">submitted that </w:t>
      </w:r>
      <w:r w:rsidR="002C6B92">
        <w:rPr>
          <w:sz w:val="22"/>
          <w:szCs w:val="22"/>
        </w:rPr>
        <w:t xml:space="preserve">Condition 2 </w:t>
      </w:r>
      <w:r w:rsidR="00A06D15">
        <w:rPr>
          <w:sz w:val="22"/>
          <w:szCs w:val="22"/>
        </w:rPr>
        <w:t xml:space="preserve">should be </w:t>
      </w:r>
      <w:r w:rsidR="00D561EC">
        <w:rPr>
          <w:sz w:val="22"/>
          <w:szCs w:val="22"/>
        </w:rPr>
        <w:t>amended</w:t>
      </w:r>
      <w:r w:rsidR="00742786">
        <w:rPr>
          <w:sz w:val="22"/>
          <w:szCs w:val="22"/>
        </w:rPr>
        <w:t xml:space="preserve"> as </w:t>
      </w:r>
      <w:r w:rsidR="00707C32">
        <w:rPr>
          <w:sz w:val="22"/>
          <w:szCs w:val="22"/>
        </w:rPr>
        <w:t>follows</w:t>
      </w:r>
      <w:r w:rsidR="006425BB">
        <w:rPr>
          <w:sz w:val="22"/>
          <w:szCs w:val="22"/>
        </w:rPr>
        <w:t>:</w:t>
      </w:r>
    </w:p>
    <w:p w14:paraId="1E0B2F5F" w14:textId="67138896" w:rsidR="00742786" w:rsidRPr="00932C76" w:rsidRDefault="00742786" w:rsidP="00A97E12">
      <w:pPr>
        <w:pStyle w:val="BP2"/>
        <w:tabs>
          <w:tab w:val="clear" w:pos="432"/>
        </w:tabs>
        <w:ind w:left="720"/>
        <w:rPr>
          <w:sz w:val="22"/>
          <w:szCs w:val="22"/>
        </w:rPr>
      </w:pPr>
      <w:r>
        <w:rPr>
          <w:i/>
          <w:sz w:val="22"/>
        </w:rPr>
        <w:t xml:space="preserve">Prior to the commencement of any works approved by the permit, a revised tender ready set of drawings and design drawings including any materials specifications is to be submitted to the Executive Director for written approval. The drawings must be revised to show the deletion of the </w:t>
      </w:r>
      <w:r w:rsidRPr="00411DDF">
        <w:rPr>
          <w:i/>
          <w:strike/>
          <w:sz w:val="22"/>
        </w:rPr>
        <w:t>new entry and</w:t>
      </w:r>
      <w:r>
        <w:rPr>
          <w:i/>
          <w:sz w:val="22"/>
        </w:rPr>
        <w:t xml:space="preserve"> new fenestration to the northern end of the Cathedral Room</w:t>
      </w:r>
      <w:r w:rsidR="00411DDF">
        <w:rPr>
          <w:i/>
          <w:sz w:val="22"/>
        </w:rPr>
        <w:t xml:space="preserve"> </w:t>
      </w:r>
      <w:r w:rsidR="00411DDF" w:rsidRPr="0058388A">
        <w:rPr>
          <w:bCs/>
          <w:i/>
          <w:sz w:val="22"/>
          <w:u w:val="single"/>
        </w:rPr>
        <w:t xml:space="preserve">either side </w:t>
      </w:r>
      <w:r w:rsidR="00932C76" w:rsidRPr="0058388A">
        <w:rPr>
          <w:bCs/>
          <w:i/>
          <w:sz w:val="22"/>
          <w:u w:val="single"/>
        </w:rPr>
        <w:t>of the new entry</w:t>
      </w:r>
      <w:r w:rsidR="00932C76">
        <w:rPr>
          <w:sz w:val="22"/>
        </w:rPr>
        <w:t>.</w:t>
      </w:r>
    </w:p>
    <w:p w14:paraId="01ADC2BE" w14:textId="7981B10F" w:rsidR="0066196E" w:rsidRPr="0066196E" w:rsidRDefault="00300E6B" w:rsidP="004F5F06">
      <w:pPr>
        <w:pStyle w:val="BP2"/>
        <w:numPr>
          <w:ilvl w:val="0"/>
          <w:numId w:val="3"/>
        </w:numPr>
        <w:tabs>
          <w:tab w:val="clear" w:pos="432"/>
          <w:tab w:val="left" w:pos="709"/>
        </w:tabs>
        <w:ind w:left="567" w:hanging="567"/>
        <w:rPr>
          <w:sz w:val="22"/>
          <w:szCs w:val="22"/>
        </w:rPr>
      </w:pPr>
      <w:r>
        <w:rPr>
          <w:sz w:val="22"/>
          <w:szCs w:val="22"/>
        </w:rPr>
        <w:t>The</w:t>
      </w:r>
      <w:r w:rsidR="003E0F2B">
        <w:rPr>
          <w:sz w:val="22"/>
          <w:szCs w:val="22"/>
        </w:rPr>
        <w:t xml:space="preserve"> Permit Applicant </w:t>
      </w:r>
      <w:r w:rsidR="00EF6B27">
        <w:rPr>
          <w:sz w:val="22"/>
          <w:szCs w:val="22"/>
        </w:rPr>
        <w:t>provided</w:t>
      </w:r>
      <w:r w:rsidR="003E0F2B">
        <w:rPr>
          <w:sz w:val="22"/>
          <w:szCs w:val="22"/>
        </w:rPr>
        <w:t xml:space="preserve"> </w:t>
      </w:r>
      <w:r w:rsidR="00EF6B27">
        <w:rPr>
          <w:sz w:val="22"/>
          <w:szCs w:val="22"/>
        </w:rPr>
        <w:t xml:space="preserve">the following reasons </w:t>
      </w:r>
      <w:r w:rsidR="00791F40">
        <w:rPr>
          <w:sz w:val="22"/>
          <w:szCs w:val="22"/>
        </w:rPr>
        <w:t xml:space="preserve">for the request for the </w:t>
      </w:r>
      <w:r w:rsidR="008C2A33">
        <w:rPr>
          <w:sz w:val="22"/>
          <w:szCs w:val="22"/>
        </w:rPr>
        <w:t>r</w:t>
      </w:r>
      <w:r w:rsidR="00791F40">
        <w:rPr>
          <w:sz w:val="22"/>
          <w:szCs w:val="22"/>
        </w:rPr>
        <w:t>eview</w:t>
      </w:r>
      <w:r w:rsidR="003E0F2B">
        <w:rPr>
          <w:sz w:val="22"/>
          <w:szCs w:val="22"/>
        </w:rPr>
        <w:t>:</w:t>
      </w:r>
    </w:p>
    <w:p w14:paraId="2877F275" w14:textId="2DD61DF1" w:rsidR="00300E6B" w:rsidRPr="0066196E" w:rsidRDefault="0066196E" w:rsidP="00300E6B">
      <w:pPr>
        <w:pStyle w:val="BP2"/>
        <w:numPr>
          <w:ilvl w:val="0"/>
          <w:numId w:val="4"/>
        </w:numPr>
        <w:ind w:left="1077" w:hanging="357"/>
        <w:rPr>
          <w:i/>
          <w:sz w:val="22"/>
          <w:szCs w:val="22"/>
        </w:rPr>
      </w:pPr>
      <w:r w:rsidRPr="0066196E">
        <w:rPr>
          <w:i/>
          <w:sz w:val="22"/>
          <w:szCs w:val="22"/>
        </w:rPr>
        <w:t>The propos</w:t>
      </w:r>
      <w:r w:rsidR="007B2808">
        <w:rPr>
          <w:i/>
          <w:sz w:val="22"/>
          <w:szCs w:val="22"/>
        </w:rPr>
        <w:t xml:space="preserve">ed new entry to the </w:t>
      </w:r>
      <w:r w:rsidR="005C0E20">
        <w:rPr>
          <w:i/>
          <w:sz w:val="22"/>
          <w:szCs w:val="22"/>
        </w:rPr>
        <w:t xml:space="preserve">Cathedral Room </w:t>
      </w:r>
      <w:r w:rsidR="007029D5">
        <w:rPr>
          <w:i/>
          <w:sz w:val="22"/>
          <w:szCs w:val="22"/>
        </w:rPr>
        <w:t>will not cause an un</w:t>
      </w:r>
      <w:r w:rsidR="00440FD0">
        <w:rPr>
          <w:i/>
          <w:sz w:val="22"/>
          <w:szCs w:val="22"/>
        </w:rPr>
        <w:t>reasonable adverse impact to the cultural heritage significance of the place.</w:t>
      </w:r>
    </w:p>
    <w:p w14:paraId="543FCA1B" w14:textId="1D6081A8" w:rsidR="002243F7" w:rsidRDefault="00440FD0" w:rsidP="002243F7">
      <w:pPr>
        <w:pStyle w:val="BP2"/>
        <w:numPr>
          <w:ilvl w:val="0"/>
          <w:numId w:val="4"/>
        </w:numPr>
        <w:ind w:left="1077" w:hanging="357"/>
        <w:rPr>
          <w:i/>
          <w:sz w:val="22"/>
          <w:szCs w:val="22"/>
        </w:rPr>
      </w:pPr>
      <w:r>
        <w:rPr>
          <w:i/>
          <w:sz w:val="22"/>
          <w:szCs w:val="22"/>
        </w:rPr>
        <w:t xml:space="preserve">The proposed new entry to the </w:t>
      </w:r>
      <w:r w:rsidR="002243F7">
        <w:rPr>
          <w:i/>
          <w:sz w:val="22"/>
          <w:szCs w:val="22"/>
        </w:rPr>
        <w:t>Cathedral Room will promote public access and enjoyment of a significant heritage space</w:t>
      </w:r>
      <w:r w:rsidR="0066196E" w:rsidRPr="0066196E">
        <w:rPr>
          <w:i/>
          <w:sz w:val="22"/>
          <w:szCs w:val="22"/>
        </w:rPr>
        <w:t>.</w:t>
      </w:r>
    </w:p>
    <w:p w14:paraId="4F6607BD" w14:textId="3F6FA6E1" w:rsidR="00C06D1E" w:rsidRDefault="003D402B" w:rsidP="00C06D1E">
      <w:pPr>
        <w:pStyle w:val="BP2"/>
        <w:numPr>
          <w:ilvl w:val="0"/>
          <w:numId w:val="4"/>
        </w:numPr>
        <w:ind w:left="1077" w:hanging="357"/>
        <w:rPr>
          <w:i/>
          <w:sz w:val="22"/>
          <w:szCs w:val="22"/>
        </w:rPr>
      </w:pPr>
      <w:r>
        <w:rPr>
          <w:i/>
          <w:sz w:val="22"/>
          <w:szCs w:val="22"/>
        </w:rPr>
        <w:t xml:space="preserve">Condition 2 affects the reasonable and economic use of the </w:t>
      </w:r>
      <w:r w:rsidR="00C06D1E">
        <w:rPr>
          <w:i/>
          <w:sz w:val="22"/>
          <w:szCs w:val="22"/>
        </w:rPr>
        <w:t>registered place.</w:t>
      </w:r>
    </w:p>
    <w:p w14:paraId="3961CDF8" w14:textId="06277DE5" w:rsidR="00C06D1E" w:rsidRDefault="00C06D1E" w:rsidP="00C06D1E">
      <w:pPr>
        <w:pStyle w:val="BP2"/>
        <w:numPr>
          <w:ilvl w:val="0"/>
          <w:numId w:val="4"/>
        </w:numPr>
        <w:ind w:left="1077" w:hanging="357"/>
        <w:rPr>
          <w:i/>
          <w:sz w:val="22"/>
          <w:szCs w:val="22"/>
        </w:rPr>
      </w:pPr>
      <w:r>
        <w:rPr>
          <w:i/>
          <w:sz w:val="22"/>
          <w:szCs w:val="22"/>
        </w:rPr>
        <w:t>Condition 2 affects the commercial viability of the overall development proposal</w:t>
      </w:r>
      <w:r w:rsidR="008853CA">
        <w:rPr>
          <w:i/>
          <w:sz w:val="22"/>
          <w:szCs w:val="22"/>
        </w:rPr>
        <w:t>.</w:t>
      </w:r>
    </w:p>
    <w:p w14:paraId="341577A2" w14:textId="0721CC27" w:rsidR="008853CA" w:rsidRDefault="008853CA" w:rsidP="00C06D1E">
      <w:pPr>
        <w:pStyle w:val="BP2"/>
        <w:numPr>
          <w:ilvl w:val="0"/>
          <w:numId w:val="4"/>
        </w:numPr>
        <w:ind w:left="1077" w:hanging="357"/>
        <w:rPr>
          <w:i/>
          <w:sz w:val="22"/>
          <w:szCs w:val="22"/>
        </w:rPr>
      </w:pPr>
      <w:r>
        <w:rPr>
          <w:i/>
          <w:sz w:val="22"/>
          <w:szCs w:val="22"/>
        </w:rPr>
        <w:t xml:space="preserve">Condition 2 will reduce the quality of the urban design outcome achieved by the overall </w:t>
      </w:r>
      <w:r w:rsidR="005F2947">
        <w:rPr>
          <w:i/>
          <w:sz w:val="22"/>
          <w:szCs w:val="22"/>
        </w:rPr>
        <w:t>development proposal.</w:t>
      </w:r>
    </w:p>
    <w:p w14:paraId="36A1B74E" w14:textId="5AAB49E9" w:rsidR="005F2947" w:rsidRPr="00C06D1E" w:rsidRDefault="005F2947" w:rsidP="00C06D1E">
      <w:pPr>
        <w:pStyle w:val="BP2"/>
        <w:numPr>
          <w:ilvl w:val="0"/>
          <w:numId w:val="4"/>
        </w:numPr>
        <w:ind w:left="1077" w:hanging="357"/>
        <w:rPr>
          <w:i/>
          <w:sz w:val="22"/>
          <w:szCs w:val="22"/>
        </w:rPr>
      </w:pPr>
      <w:r>
        <w:rPr>
          <w:i/>
          <w:sz w:val="22"/>
          <w:szCs w:val="22"/>
        </w:rPr>
        <w:t>Condition 2 will impact on the</w:t>
      </w:r>
      <w:r w:rsidR="00C608E3">
        <w:rPr>
          <w:i/>
          <w:sz w:val="22"/>
          <w:szCs w:val="22"/>
        </w:rPr>
        <w:t xml:space="preserve"> efficiency of egress as it will remove an egress point which is an important </w:t>
      </w:r>
      <w:r w:rsidR="001B12B3">
        <w:rPr>
          <w:i/>
          <w:sz w:val="22"/>
          <w:szCs w:val="22"/>
        </w:rPr>
        <w:t>component of the overall development proposal.</w:t>
      </w:r>
    </w:p>
    <w:p w14:paraId="44AF7A30" w14:textId="4BEACFBB" w:rsidR="00673B03" w:rsidRPr="003E0F2B" w:rsidRDefault="00673B03" w:rsidP="00F279D5">
      <w:pPr>
        <w:pStyle w:val="BP2"/>
        <w:numPr>
          <w:ilvl w:val="0"/>
          <w:numId w:val="3"/>
        </w:numPr>
        <w:tabs>
          <w:tab w:val="clear" w:pos="432"/>
          <w:tab w:val="left" w:pos="709"/>
        </w:tabs>
        <w:ind w:left="567" w:hanging="567"/>
        <w:rPr>
          <w:sz w:val="22"/>
          <w:szCs w:val="22"/>
        </w:rPr>
      </w:pPr>
      <w:r w:rsidRPr="003E0F2B">
        <w:rPr>
          <w:sz w:val="22"/>
          <w:szCs w:val="22"/>
        </w:rPr>
        <w:t xml:space="preserve">A Registrations and Reviews Committee of the Heritage Council (‘the Committee’) was </w:t>
      </w:r>
      <w:r w:rsidR="00300E6B">
        <w:rPr>
          <w:sz w:val="22"/>
          <w:szCs w:val="22"/>
        </w:rPr>
        <w:t xml:space="preserve">duly </w:t>
      </w:r>
      <w:r w:rsidRPr="003E0F2B">
        <w:rPr>
          <w:sz w:val="22"/>
          <w:szCs w:val="22"/>
        </w:rPr>
        <w:t>constituted to consider and determine the matter</w:t>
      </w:r>
      <w:r w:rsidR="005C6E38">
        <w:rPr>
          <w:sz w:val="22"/>
          <w:szCs w:val="22"/>
        </w:rPr>
        <w:t xml:space="preserve"> and relevant parties were notified of the </w:t>
      </w:r>
      <w:r w:rsidR="008C2A33">
        <w:rPr>
          <w:sz w:val="22"/>
          <w:szCs w:val="22"/>
        </w:rPr>
        <w:t>r</w:t>
      </w:r>
      <w:r w:rsidR="005C6E38">
        <w:rPr>
          <w:sz w:val="22"/>
          <w:szCs w:val="22"/>
        </w:rPr>
        <w:t>eview</w:t>
      </w:r>
      <w:r w:rsidR="008C2A33">
        <w:rPr>
          <w:sz w:val="22"/>
          <w:szCs w:val="22"/>
        </w:rPr>
        <w:t xml:space="preserve"> hearing</w:t>
      </w:r>
      <w:r w:rsidR="005C6E38">
        <w:rPr>
          <w:sz w:val="22"/>
          <w:szCs w:val="22"/>
        </w:rPr>
        <w:t xml:space="preserve">, which was scheduled for 11 and 15 July 2019.  </w:t>
      </w:r>
    </w:p>
    <w:p w14:paraId="70BEEBC1" w14:textId="77777777" w:rsidR="00A24440" w:rsidRPr="009C32A1" w:rsidRDefault="00A24440" w:rsidP="00A24440">
      <w:pPr>
        <w:pStyle w:val="BP2"/>
        <w:tabs>
          <w:tab w:val="clear" w:pos="432"/>
          <w:tab w:val="left" w:pos="709"/>
        </w:tabs>
        <w:ind w:left="567"/>
        <w:rPr>
          <w:sz w:val="22"/>
          <w:szCs w:val="22"/>
        </w:rPr>
      </w:pPr>
    </w:p>
    <w:p w14:paraId="688C8E63" w14:textId="0A3007B0" w:rsidR="009C7FBE" w:rsidRPr="009C7FBE" w:rsidRDefault="009C7FBE" w:rsidP="00090F2D">
      <w:pPr>
        <w:pStyle w:val="H3AFTER"/>
        <w:rPr>
          <w:b/>
          <w:sz w:val="24"/>
          <w:lang w:eastAsia="en-AU"/>
        </w:rPr>
      </w:pPr>
      <w:r w:rsidRPr="009C7FBE">
        <w:rPr>
          <w:b/>
          <w:sz w:val="24"/>
          <w:lang w:eastAsia="en-AU"/>
        </w:rPr>
        <w:t>PRELIMINARY, PROC</w:t>
      </w:r>
      <w:r w:rsidR="00AB10A8">
        <w:rPr>
          <w:b/>
          <w:sz w:val="24"/>
          <w:lang w:eastAsia="en-AU"/>
        </w:rPr>
        <w:t>ED</w:t>
      </w:r>
      <w:r w:rsidRPr="009C7FBE">
        <w:rPr>
          <w:b/>
          <w:sz w:val="24"/>
          <w:lang w:eastAsia="en-AU"/>
        </w:rPr>
        <w:t>URAL AND OTHER MATTERS</w:t>
      </w:r>
    </w:p>
    <w:p w14:paraId="2BDE2780" w14:textId="77777777" w:rsidR="00032C4E" w:rsidRPr="0066196E" w:rsidRDefault="00032C4E" w:rsidP="00032C4E">
      <w:pPr>
        <w:pStyle w:val="H4"/>
        <w:spacing w:after="120"/>
        <w:rPr>
          <w:sz w:val="22"/>
        </w:rPr>
      </w:pPr>
      <w:bookmarkStart w:id="6" w:name="_Hlk17447017"/>
      <w:r>
        <w:rPr>
          <w:sz w:val="22"/>
        </w:rPr>
        <w:t xml:space="preserve">ADJOURNMENT </w:t>
      </w:r>
    </w:p>
    <w:p w14:paraId="049E35BE" w14:textId="27737F94" w:rsidR="00032C4E" w:rsidRDefault="00032C4E" w:rsidP="00032C4E">
      <w:pPr>
        <w:pStyle w:val="BP2"/>
        <w:numPr>
          <w:ilvl w:val="0"/>
          <w:numId w:val="3"/>
        </w:numPr>
        <w:tabs>
          <w:tab w:val="clear" w:pos="432"/>
          <w:tab w:val="left" w:pos="709"/>
        </w:tabs>
        <w:ind w:left="567" w:hanging="567"/>
        <w:rPr>
          <w:sz w:val="22"/>
          <w:szCs w:val="22"/>
        </w:rPr>
      </w:pPr>
      <w:r w:rsidRPr="009C32A1">
        <w:rPr>
          <w:sz w:val="22"/>
          <w:szCs w:val="22"/>
        </w:rPr>
        <w:t xml:space="preserve">The </w:t>
      </w:r>
      <w:r w:rsidR="008C2A33">
        <w:rPr>
          <w:sz w:val="22"/>
          <w:szCs w:val="22"/>
        </w:rPr>
        <w:t>r</w:t>
      </w:r>
      <w:r>
        <w:rPr>
          <w:sz w:val="22"/>
          <w:szCs w:val="22"/>
        </w:rPr>
        <w:t>eview</w:t>
      </w:r>
      <w:r w:rsidR="008C2A33">
        <w:rPr>
          <w:sz w:val="22"/>
          <w:szCs w:val="22"/>
        </w:rPr>
        <w:t xml:space="preserve"> hearing</w:t>
      </w:r>
      <w:r>
        <w:rPr>
          <w:sz w:val="22"/>
          <w:szCs w:val="22"/>
        </w:rPr>
        <w:t xml:space="preserve">, which had been scheduled for 11 and 15 July 2019, was </w:t>
      </w:r>
      <w:r w:rsidR="00B242F9">
        <w:rPr>
          <w:sz w:val="22"/>
          <w:szCs w:val="22"/>
        </w:rPr>
        <w:t xml:space="preserve">later </w:t>
      </w:r>
      <w:r>
        <w:rPr>
          <w:sz w:val="22"/>
          <w:szCs w:val="22"/>
        </w:rPr>
        <w:t>adjourned to 22 July 2019. All parties were notified of the adjournment and consulted in relation to the new date</w:t>
      </w:r>
      <w:r w:rsidR="008C2A33">
        <w:rPr>
          <w:sz w:val="22"/>
          <w:szCs w:val="22"/>
        </w:rPr>
        <w:t>.</w:t>
      </w:r>
      <w:r>
        <w:rPr>
          <w:sz w:val="22"/>
          <w:szCs w:val="22"/>
        </w:rPr>
        <w:t xml:space="preserve"> </w:t>
      </w:r>
    </w:p>
    <w:p w14:paraId="44519732" w14:textId="081634A6" w:rsidR="0066196E" w:rsidRPr="0066196E" w:rsidRDefault="009C7FBE" w:rsidP="0066196E">
      <w:pPr>
        <w:pStyle w:val="H4"/>
        <w:spacing w:after="120"/>
        <w:rPr>
          <w:sz w:val="22"/>
        </w:rPr>
      </w:pPr>
      <w:bookmarkStart w:id="7" w:name="_Hlk17447063"/>
      <w:bookmarkEnd w:id="6"/>
      <w:r w:rsidRPr="00267AE6">
        <w:rPr>
          <w:sz w:val="22"/>
        </w:rPr>
        <w:t>Site Inspection</w:t>
      </w:r>
    </w:p>
    <w:bookmarkEnd w:id="7"/>
    <w:p w14:paraId="2625ACA8" w14:textId="7E5A648E" w:rsidR="009C7FBE" w:rsidRDefault="3AB8B1F8" w:rsidP="004F5F06">
      <w:pPr>
        <w:pStyle w:val="BP2"/>
        <w:numPr>
          <w:ilvl w:val="0"/>
          <w:numId w:val="3"/>
        </w:numPr>
        <w:tabs>
          <w:tab w:val="clear" w:pos="432"/>
          <w:tab w:val="left" w:pos="709"/>
        </w:tabs>
        <w:ind w:left="567" w:hanging="567"/>
        <w:rPr>
          <w:sz w:val="22"/>
          <w:szCs w:val="22"/>
        </w:rPr>
      </w:pPr>
      <w:r w:rsidRPr="3AB8B1F8">
        <w:rPr>
          <w:sz w:val="22"/>
          <w:szCs w:val="22"/>
        </w:rPr>
        <w:t>On</w:t>
      </w:r>
      <w:r w:rsidR="0085592C">
        <w:rPr>
          <w:sz w:val="22"/>
          <w:szCs w:val="22"/>
        </w:rPr>
        <w:t xml:space="preserve"> </w:t>
      </w:r>
      <w:r w:rsidR="00FE2385">
        <w:rPr>
          <w:sz w:val="22"/>
          <w:szCs w:val="22"/>
        </w:rPr>
        <w:t>16 July</w:t>
      </w:r>
      <w:r w:rsidRPr="3AB8B1F8">
        <w:rPr>
          <w:sz w:val="22"/>
          <w:szCs w:val="22"/>
        </w:rPr>
        <w:t xml:space="preserve"> 2019, the Committee undertook a</w:t>
      </w:r>
      <w:r w:rsidR="00BD0EAF">
        <w:rPr>
          <w:sz w:val="22"/>
          <w:szCs w:val="22"/>
        </w:rPr>
        <w:t xml:space="preserve">n accompanied </w:t>
      </w:r>
      <w:r w:rsidRPr="3AB8B1F8">
        <w:rPr>
          <w:sz w:val="22"/>
          <w:szCs w:val="22"/>
        </w:rPr>
        <w:t xml:space="preserve">site inspection of the </w:t>
      </w:r>
      <w:r w:rsidR="007D59FE">
        <w:rPr>
          <w:sz w:val="22"/>
          <w:szCs w:val="22"/>
        </w:rPr>
        <w:t>Place</w:t>
      </w:r>
      <w:r w:rsidR="00B242F9">
        <w:rPr>
          <w:sz w:val="22"/>
          <w:szCs w:val="22"/>
        </w:rPr>
        <w:t>.</w:t>
      </w:r>
      <w:r w:rsidRPr="3AB8B1F8">
        <w:rPr>
          <w:sz w:val="22"/>
          <w:szCs w:val="22"/>
        </w:rPr>
        <w:t xml:space="preserve"> </w:t>
      </w:r>
      <w:r w:rsidR="00BD0EAF">
        <w:rPr>
          <w:sz w:val="22"/>
          <w:szCs w:val="22"/>
        </w:rPr>
        <w:t xml:space="preserve">The Committee was accompanied by </w:t>
      </w:r>
      <w:r w:rsidRPr="3AB8B1F8">
        <w:rPr>
          <w:sz w:val="22"/>
          <w:szCs w:val="22"/>
        </w:rPr>
        <w:t>the Heritage Counci</w:t>
      </w:r>
      <w:r w:rsidR="00300E6B">
        <w:rPr>
          <w:sz w:val="22"/>
          <w:szCs w:val="22"/>
        </w:rPr>
        <w:t>l’s Executive Officer</w:t>
      </w:r>
      <w:r w:rsidR="004D400F">
        <w:rPr>
          <w:sz w:val="22"/>
          <w:szCs w:val="22"/>
        </w:rPr>
        <w:t>;</w:t>
      </w:r>
      <w:r w:rsidR="00BD0EAF">
        <w:rPr>
          <w:sz w:val="22"/>
          <w:szCs w:val="22"/>
        </w:rPr>
        <w:t xml:space="preserve"> </w:t>
      </w:r>
      <w:r w:rsidR="00E648C5">
        <w:rPr>
          <w:sz w:val="22"/>
          <w:szCs w:val="22"/>
        </w:rPr>
        <w:t>Messrs.</w:t>
      </w:r>
      <w:r w:rsidR="00BD0EAF">
        <w:rPr>
          <w:sz w:val="22"/>
          <w:szCs w:val="22"/>
        </w:rPr>
        <w:t xml:space="preserve"> Stuart Morris, Rupert Watters, Peter Lovell</w:t>
      </w:r>
      <w:r w:rsidR="00E648C5">
        <w:rPr>
          <w:sz w:val="22"/>
          <w:szCs w:val="22"/>
        </w:rPr>
        <w:t xml:space="preserve">, </w:t>
      </w:r>
      <w:r w:rsidR="00BD0EAF">
        <w:rPr>
          <w:sz w:val="22"/>
          <w:szCs w:val="22"/>
        </w:rPr>
        <w:t>and Ja</w:t>
      </w:r>
      <w:r w:rsidR="00B329BB">
        <w:rPr>
          <w:sz w:val="22"/>
          <w:szCs w:val="22"/>
        </w:rPr>
        <w:t>r</w:t>
      </w:r>
      <w:r w:rsidR="00BD0EAF">
        <w:rPr>
          <w:sz w:val="22"/>
          <w:szCs w:val="22"/>
        </w:rPr>
        <w:t>ryd Gray of Minter Ellison representing the Permit Applicant</w:t>
      </w:r>
      <w:r w:rsidR="004D400F">
        <w:rPr>
          <w:sz w:val="22"/>
          <w:szCs w:val="22"/>
        </w:rPr>
        <w:t xml:space="preserve">; </w:t>
      </w:r>
      <w:r w:rsidR="00BD0EAF">
        <w:rPr>
          <w:sz w:val="22"/>
          <w:szCs w:val="22"/>
        </w:rPr>
        <w:t xml:space="preserve">and Ms </w:t>
      </w:r>
      <w:r w:rsidR="00BD0EAF">
        <w:rPr>
          <w:sz w:val="22"/>
        </w:rPr>
        <w:t>Emily McLean</w:t>
      </w:r>
      <w:r w:rsidRPr="3AB8B1F8">
        <w:rPr>
          <w:sz w:val="22"/>
          <w:szCs w:val="22"/>
        </w:rPr>
        <w:t xml:space="preserve"> </w:t>
      </w:r>
      <w:r w:rsidR="00B242F9">
        <w:rPr>
          <w:sz w:val="22"/>
          <w:szCs w:val="22"/>
        </w:rPr>
        <w:t xml:space="preserve">and </w:t>
      </w:r>
      <w:proofErr w:type="spellStart"/>
      <w:r w:rsidR="002049E7" w:rsidRPr="009400F0">
        <w:rPr>
          <w:sz w:val="22"/>
        </w:rPr>
        <w:t>M</w:t>
      </w:r>
      <w:r w:rsidR="002049E7">
        <w:rPr>
          <w:sz w:val="22"/>
        </w:rPr>
        <w:t>r</w:t>
      </w:r>
      <w:proofErr w:type="spellEnd"/>
      <w:r w:rsidR="002049E7">
        <w:rPr>
          <w:sz w:val="22"/>
        </w:rPr>
        <w:t xml:space="preserve"> Michael </w:t>
      </w:r>
      <w:proofErr w:type="spellStart"/>
      <w:r w:rsidR="002049E7">
        <w:rPr>
          <w:sz w:val="22"/>
        </w:rPr>
        <w:t>Galimany</w:t>
      </w:r>
      <w:proofErr w:type="spellEnd"/>
      <w:r w:rsidR="002049E7">
        <w:rPr>
          <w:sz w:val="22"/>
        </w:rPr>
        <w:t xml:space="preserve"> </w:t>
      </w:r>
      <w:r w:rsidR="00BD0EAF">
        <w:rPr>
          <w:sz w:val="22"/>
          <w:szCs w:val="22"/>
        </w:rPr>
        <w:t xml:space="preserve">representing the Executive Director. </w:t>
      </w:r>
      <w:r w:rsidRPr="3AB8B1F8">
        <w:rPr>
          <w:sz w:val="22"/>
          <w:szCs w:val="22"/>
        </w:rPr>
        <w:t xml:space="preserve">Access to the site was provided by </w:t>
      </w:r>
      <w:r w:rsidR="00FB04C5">
        <w:rPr>
          <w:sz w:val="22"/>
          <w:szCs w:val="22"/>
        </w:rPr>
        <w:t>the Permit Applicant</w:t>
      </w:r>
      <w:r w:rsidRPr="3AB8B1F8">
        <w:rPr>
          <w:sz w:val="22"/>
          <w:szCs w:val="22"/>
        </w:rPr>
        <w:t>. No submissions were sought, made or received at the time of the site inspection</w:t>
      </w:r>
      <w:r w:rsidR="00BD0EAF">
        <w:rPr>
          <w:sz w:val="22"/>
          <w:szCs w:val="22"/>
        </w:rPr>
        <w:t xml:space="preserve"> except that the existing and proposed layout of the site w</w:t>
      </w:r>
      <w:r w:rsidR="00B5764F">
        <w:rPr>
          <w:sz w:val="22"/>
          <w:szCs w:val="22"/>
        </w:rPr>
        <w:t>ere</w:t>
      </w:r>
      <w:r w:rsidR="00BD0EAF">
        <w:rPr>
          <w:sz w:val="22"/>
          <w:szCs w:val="22"/>
        </w:rPr>
        <w:t xml:space="preserve"> described by the representatives of the Permit Applicant</w:t>
      </w:r>
      <w:r w:rsidRPr="3AB8B1F8">
        <w:rPr>
          <w:sz w:val="22"/>
          <w:szCs w:val="22"/>
        </w:rPr>
        <w:t>.</w:t>
      </w:r>
    </w:p>
    <w:p w14:paraId="247AC88F" w14:textId="550A9696" w:rsidR="00584197" w:rsidRPr="00584197" w:rsidRDefault="00B242F9" w:rsidP="00584197">
      <w:pPr>
        <w:pStyle w:val="H4"/>
        <w:spacing w:after="120"/>
        <w:rPr>
          <w:sz w:val="22"/>
        </w:rPr>
      </w:pPr>
      <w:r>
        <w:rPr>
          <w:sz w:val="22"/>
        </w:rPr>
        <w:lastRenderedPageBreak/>
        <w:t>Declarations of no Conflicts of interest</w:t>
      </w:r>
    </w:p>
    <w:p w14:paraId="0B7ED1AE" w14:textId="61DC210D" w:rsidR="00B242F9" w:rsidRDefault="00584197" w:rsidP="004F5F06">
      <w:pPr>
        <w:pStyle w:val="BP2"/>
        <w:numPr>
          <w:ilvl w:val="0"/>
          <w:numId w:val="3"/>
        </w:numPr>
        <w:tabs>
          <w:tab w:val="clear" w:pos="432"/>
          <w:tab w:val="left" w:pos="709"/>
        </w:tabs>
        <w:ind w:left="567" w:hanging="567"/>
        <w:rPr>
          <w:sz w:val="22"/>
          <w:szCs w:val="22"/>
        </w:rPr>
      </w:pPr>
      <w:r>
        <w:rPr>
          <w:sz w:val="22"/>
          <w:szCs w:val="22"/>
        </w:rPr>
        <w:t>The Committee</w:t>
      </w:r>
      <w:r w:rsidR="00161855">
        <w:rPr>
          <w:sz w:val="22"/>
          <w:szCs w:val="22"/>
        </w:rPr>
        <w:t xml:space="preserve"> </w:t>
      </w:r>
      <w:r w:rsidR="00794333">
        <w:rPr>
          <w:sz w:val="22"/>
          <w:szCs w:val="22"/>
        </w:rPr>
        <w:t>c</w:t>
      </w:r>
      <w:r w:rsidR="00161855">
        <w:rPr>
          <w:sz w:val="22"/>
          <w:szCs w:val="22"/>
        </w:rPr>
        <w:t>hair and</w:t>
      </w:r>
      <w:r>
        <w:rPr>
          <w:sz w:val="22"/>
          <w:szCs w:val="22"/>
        </w:rPr>
        <w:t xml:space="preserve"> members </w:t>
      </w:r>
      <w:r w:rsidR="00BD0EAF">
        <w:rPr>
          <w:sz w:val="22"/>
          <w:szCs w:val="22"/>
        </w:rPr>
        <w:t xml:space="preserve">advised </w:t>
      </w:r>
      <w:r w:rsidR="00190315">
        <w:rPr>
          <w:sz w:val="22"/>
          <w:szCs w:val="22"/>
        </w:rPr>
        <w:t xml:space="preserve">the hearing participants </w:t>
      </w:r>
      <w:r w:rsidR="00BD0EAF">
        <w:rPr>
          <w:sz w:val="22"/>
          <w:szCs w:val="22"/>
        </w:rPr>
        <w:t xml:space="preserve">before the </w:t>
      </w:r>
      <w:r w:rsidR="008C2A33">
        <w:rPr>
          <w:sz w:val="22"/>
          <w:szCs w:val="22"/>
        </w:rPr>
        <w:t>h</w:t>
      </w:r>
      <w:r w:rsidR="00BD0EAF">
        <w:rPr>
          <w:sz w:val="22"/>
          <w:szCs w:val="22"/>
        </w:rPr>
        <w:t xml:space="preserve">earing </w:t>
      </w:r>
      <w:r>
        <w:rPr>
          <w:sz w:val="22"/>
          <w:szCs w:val="22"/>
        </w:rPr>
        <w:t>that t</w:t>
      </w:r>
      <w:r w:rsidR="00594B3F">
        <w:rPr>
          <w:sz w:val="22"/>
          <w:szCs w:val="22"/>
        </w:rPr>
        <w:t xml:space="preserve">hey had no </w:t>
      </w:r>
      <w:r w:rsidR="00AB5821">
        <w:rPr>
          <w:sz w:val="22"/>
          <w:szCs w:val="22"/>
        </w:rPr>
        <w:t xml:space="preserve">actual </w:t>
      </w:r>
      <w:r w:rsidR="00594B3F">
        <w:rPr>
          <w:sz w:val="22"/>
          <w:szCs w:val="22"/>
        </w:rPr>
        <w:t xml:space="preserve">conflicts of interest </w:t>
      </w:r>
      <w:r w:rsidR="009E1047">
        <w:rPr>
          <w:sz w:val="22"/>
          <w:szCs w:val="22"/>
        </w:rPr>
        <w:t>in undertaking the review</w:t>
      </w:r>
      <w:r w:rsidR="008D1946">
        <w:rPr>
          <w:sz w:val="22"/>
          <w:szCs w:val="22"/>
        </w:rPr>
        <w:t xml:space="preserve">. </w:t>
      </w:r>
      <w:r w:rsidR="00594B3F">
        <w:rPr>
          <w:sz w:val="22"/>
          <w:szCs w:val="22"/>
        </w:rPr>
        <w:t>Ms Schmeder noted that</w:t>
      </w:r>
      <w:r w:rsidR="008D1946">
        <w:rPr>
          <w:sz w:val="22"/>
          <w:szCs w:val="22"/>
        </w:rPr>
        <w:t xml:space="preserve">, although </w:t>
      </w:r>
      <w:r w:rsidR="00A451E0">
        <w:rPr>
          <w:sz w:val="22"/>
          <w:szCs w:val="22"/>
        </w:rPr>
        <w:t xml:space="preserve">she </w:t>
      </w:r>
      <w:r w:rsidR="00CB2A6D">
        <w:rPr>
          <w:sz w:val="22"/>
          <w:szCs w:val="22"/>
        </w:rPr>
        <w:t>had been</w:t>
      </w:r>
      <w:r w:rsidR="00A451E0">
        <w:rPr>
          <w:sz w:val="22"/>
          <w:szCs w:val="22"/>
        </w:rPr>
        <w:t xml:space="preserve"> employed by Context</w:t>
      </w:r>
      <w:r w:rsidR="00742D7F">
        <w:rPr>
          <w:sz w:val="22"/>
          <w:szCs w:val="22"/>
        </w:rPr>
        <w:t>,</w:t>
      </w:r>
      <w:r w:rsidR="00A66332">
        <w:rPr>
          <w:sz w:val="22"/>
          <w:szCs w:val="22"/>
        </w:rPr>
        <w:t xml:space="preserve"> who </w:t>
      </w:r>
      <w:r w:rsidR="001A0188">
        <w:rPr>
          <w:sz w:val="22"/>
          <w:szCs w:val="22"/>
        </w:rPr>
        <w:t xml:space="preserve">were </w:t>
      </w:r>
      <w:r w:rsidR="00BD0EAF">
        <w:rPr>
          <w:sz w:val="22"/>
          <w:szCs w:val="22"/>
        </w:rPr>
        <w:t xml:space="preserve">currently </w:t>
      </w:r>
      <w:r w:rsidR="001A0188">
        <w:rPr>
          <w:sz w:val="22"/>
          <w:szCs w:val="22"/>
        </w:rPr>
        <w:t>engaged by</w:t>
      </w:r>
      <w:r w:rsidR="00B93C19">
        <w:rPr>
          <w:sz w:val="22"/>
          <w:szCs w:val="22"/>
        </w:rPr>
        <w:t xml:space="preserve"> the City </w:t>
      </w:r>
      <w:r w:rsidR="009E1047">
        <w:rPr>
          <w:sz w:val="22"/>
          <w:szCs w:val="22"/>
        </w:rPr>
        <w:t>o</w:t>
      </w:r>
      <w:r w:rsidR="00B93C19">
        <w:rPr>
          <w:sz w:val="22"/>
          <w:szCs w:val="22"/>
        </w:rPr>
        <w:t>f Melbourne</w:t>
      </w:r>
      <w:r w:rsidR="00BD0EAF">
        <w:rPr>
          <w:sz w:val="22"/>
          <w:szCs w:val="22"/>
        </w:rPr>
        <w:t xml:space="preserve"> in relation to a</w:t>
      </w:r>
      <w:r w:rsidR="009E1047">
        <w:rPr>
          <w:sz w:val="22"/>
          <w:szCs w:val="22"/>
        </w:rPr>
        <w:t>nother</w:t>
      </w:r>
      <w:r w:rsidR="00BD0EAF">
        <w:rPr>
          <w:sz w:val="22"/>
          <w:szCs w:val="22"/>
        </w:rPr>
        <w:t xml:space="preserve"> heritage </w:t>
      </w:r>
      <w:r w:rsidR="009E1047">
        <w:rPr>
          <w:sz w:val="22"/>
          <w:szCs w:val="22"/>
        </w:rPr>
        <w:t>matter</w:t>
      </w:r>
      <w:r w:rsidR="00B93C19">
        <w:rPr>
          <w:sz w:val="22"/>
          <w:szCs w:val="22"/>
        </w:rPr>
        <w:t xml:space="preserve">, </w:t>
      </w:r>
      <w:r w:rsidR="00F76935">
        <w:rPr>
          <w:sz w:val="22"/>
          <w:szCs w:val="22"/>
        </w:rPr>
        <w:t xml:space="preserve">she had not </w:t>
      </w:r>
      <w:r w:rsidR="002045E5">
        <w:rPr>
          <w:sz w:val="22"/>
          <w:szCs w:val="22"/>
        </w:rPr>
        <w:t xml:space="preserve">been </w:t>
      </w:r>
      <w:r w:rsidR="009E1047">
        <w:rPr>
          <w:sz w:val="22"/>
          <w:szCs w:val="22"/>
        </w:rPr>
        <w:t>involved in that project which</w:t>
      </w:r>
      <w:r w:rsidR="00AB5821">
        <w:rPr>
          <w:sz w:val="22"/>
          <w:szCs w:val="22"/>
        </w:rPr>
        <w:t>,</w:t>
      </w:r>
      <w:r w:rsidR="009E1047">
        <w:rPr>
          <w:sz w:val="22"/>
          <w:szCs w:val="22"/>
        </w:rPr>
        <w:t xml:space="preserve"> in any case</w:t>
      </w:r>
      <w:r w:rsidR="00AB5821">
        <w:rPr>
          <w:sz w:val="22"/>
          <w:szCs w:val="22"/>
        </w:rPr>
        <w:t>,</w:t>
      </w:r>
      <w:r w:rsidR="009E1047">
        <w:rPr>
          <w:sz w:val="22"/>
          <w:szCs w:val="22"/>
        </w:rPr>
        <w:t xml:space="preserve"> did no</w:t>
      </w:r>
      <w:r w:rsidR="00B242F9">
        <w:rPr>
          <w:sz w:val="22"/>
          <w:szCs w:val="22"/>
        </w:rPr>
        <w:t>t</w:t>
      </w:r>
      <w:r w:rsidR="009E1047">
        <w:rPr>
          <w:sz w:val="22"/>
          <w:szCs w:val="22"/>
        </w:rPr>
        <w:t xml:space="preserve"> involve any</w:t>
      </w:r>
      <w:r w:rsidR="002045E5">
        <w:rPr>
          <w:sz w:val="22"/>
          <w:szCs w:val="22"/>
        </w:rPr>
        <w:t xml:space="preserve"> work </w:t>
      </w:r>
      <w:r w:rsidR="009E1047">
        <w:rPr>
          <w:sz w:val="22"/>
          <w:szCs w:val="22"/>
        </w:rPr>
        <w:t xml:space="preserve">in relation to </w:t>
      </w:r>
      <w:r w:rsidR="002045E5">
        <w:rPr>
          <w:sz w:val="22"/>
          <w:szCs w:val="22"/>
        </w:rPr>
        <w:t>the Place.</w:t>
      </w:r>
      <w:r w:rsidR="00594B3F">
        <w:rPr>
          <w:sz w:val="22"/>
          <w:szCs w:val="22"/>
        </w:rPr>
        <w:t xml:space="preserve"> </w:t>
      </w:r>
      <w:r w:rsidR="00B242F9">
        <w:rPr>
          <w:sz w:val="22"/>
          <w:szCs w:val="22"/>
        </w:rPr>
        <w:t xml:space="preserve">No hearing participant objected to the </w:t>
      </w:r>
      <w:r w:rsidR="00B5764F">
        <w:rPr>
          <w:sz w:val="22"/>
          <w:szCs w:val="22"/>
        </w:rPr>
        <w:t>c</w:t>
      </w:r>
      <w:r w:rsidR="00B242F9">
        <w:rPr>
          <w:sz w:val="22"/>
          <w:szCs w:val="22"/>
        </w:rPr>
        <w:t>onstitution of the Committee.</w:t>
      </w:r>
    </w:p>
    <w:p w14:paraId="7EEDBBE6" w14:textId="3DBC7C33" w:rsidR="00B242F9" w:rsidRPr="0058388A" w:rsidRDefault="00B242F9" w:rsidP="0058388A">
      <w:pPr>
        <w:pStyle w:val="BP2"/>
        <w:tabs>
          <w:tab w:val="clear" w:pos="432"/>
          <w:tab w:val="left" w:pos="709"/>
        </w:tabs>
        <w:rPr>
          <w:rFonts w:eastAsiaTheme="majorEastAsia"/>
          <w:b/>
          <w:bCs/>
          <w:caps/>
          <w:color w:val="AA182C"/>
          <w:sz w:val="22"/>
          <w:szCs w:val="28"/>
          <w:lang w:bidi="ar-SA"/>
        </w:rPr>
      </w:pPr>
      <w:r w:rsidRPr="0058388A">
        <w:rPr>
          <w:rFonts w:eastAsiaTheme="majorEastAsia"/>
          <w:b/>
          <w:bCs/>
          <w:caps/>
          <w:color w:val="AA182C"/>
          <w:sz w:val="22"/>
          <w:szCs w:val="28"/>
          <w:lang w:bidi="ar-SA"/>
        </w:rPr>
        <w:t xml:space="preserve">Objection to </w:t>
      </w:r>
      <w:r w:rsidR="0019461E">
        <w:rPr>
          <w:rFonts w:eastAsiaTheme="majorEastAsia"/>
          <w:b/>
          <w:bCs/>
          <w:caps/>
          <w:color w:val="AA182C"/>
          <w:sz w:val="22"/>
          <w:szCs w:val="28"/>
          <w:lang w:bidi="ar-SA"/>
        </w:rPr>
        <w:t xml:space="preserve">committee receipt of </w:t>
      </w:r>
      <w:r w:rsidR="008659A8">
        <w:rPr>
          <w:rFonts w:eastAsiaTheme="majorEastAsia"/>
          <w:b/>
          <w:bCs/>
          <w:caps/>
          <w:color w:val="AA182C"/>
          <w:sz w:val="22"/>
          <w:szCs w:val="28"/>
          <w:lang w:bidi="ar-SA"/>
        </w:rPr>
        <w:t xml:space="preserve">MHA </w:t>
      </w:r>
      <w:r w:rsidRPr="0058388A">
        <w:rPr>
          <w:rFonts w:eastAsiaTheme="majorEastAsia"/>
          <w:b/>
          <w:bCs/>
          <w:caps/>
          <w:color w:val="AA182C"/>
          <w:sz w:val="22"/>
          <w:szCs w:val="28"/>
          <w:lang w:bidi="ar-SA"/>
        </w:rPr>
        <w:t>written submission</w:t>
      </w:r>
    </w:p>
    <w:p w14:paraId="0578528D" w14:textId="17183FB6" w:rsidR="008659A8" w:rsidRDefault="00B242F9" w:rsidP="00AB10A8">
      <w:pPr>
        <w:pStyle w:val="BP2"/>
        <w:numPr>
          <w:ilvl w:val="0"/>
          <w:numId w:val="3"/>
        </w:numPr>
        <w:tabs>
          <w:tab w:val="clear" w:pos="432"/>
          <w:tab w:val="left" w:pos="709"/>
        </w:tabs>
        <w:ind w:left="567" w:hanging="567"/>
        <w:rPr>
          <w:sz w:val="22"/>
          <w:szCs w:val="22"/>
        </w:rPr>
      </w:pPr>
      <w:r w:rsidRPr="00AA0FD5">
        <w:rPr>
          <w:sz w:val="22"/>
          <w:szCs w:val="22"/>
        </w:rPr>
        <w:t xml:space="preserve">The Permit Applicant </w:t>
      </w:r>
      <w:r w:rsidR="00AD398F" w:rsidRPr="00AA0FD5">
        <w:rPr>
          <w:sz w:val="22"/>
          <w:szCs w:val="22"/>
        </w:rPr>
        <w:t xml:space="preserve">made a response to the submission forwarded by </w:t>
      </w:r>
      <w:r w:rsidR="00E056AF">
        <w:rPr>
          <w:sz w:val="22"/>
          <w:szCs w:val="22"/>
        </w:rPr>
        <w:t>Melbourne Heritage Action (‘</w:t>
      </w:r>
      <w:r w:rsidR="00AD398F" w:rsidRPr="00AA0FD5">
        <w:rPr>
          <w:sz w:val="22"/>
          <w:szCs w:val="22"/>
        </w:rPr>
        <w:t>MHA</w:t>
      </w:r>
      <w:r w:rsidR="00E056AF">
        <w:rPr>
          <w:sz w:val="22"/>
          <w:szCs w:val="22"/>
        </w:rPr>
        <w:t>’)</w:t>
      </w:r>
      <w:r w:rsidR="00993CAA" w:rsidRPr="00AA0FD5">
        <w:rPr>
          <w:sz w:val="22"/>
          <w:szCs w:val="22"/>
        </w:rPr>
        <w:t xml:space="preserve"> in which it </w:t>
      </w:r>
      <w:r w:rsidRPr="00AA0FD5">
        <w:rPr>
          <w:sz w:val="22"/>
          <w:szCs w:val="22"/>
        </w:rPr>
        <w:t xml:space="preserve">objected to the Committee receiving </w:t>
      </w:r>
      <w:r w:rsidR="004D400F" w:rsidRPr="00AA0FD5">
        <w:rPr>
          <w:sz w:val="22"/>
          <w:szCs w:val="22"/>
        </w:rPr>
        <w:t>the</w:t>
      </w:r>
      <w:r w:rsidRPr="00AA0FD5">
        <w:rPr>
          <w:sz w:val="22"/>
          <w:szCs w:val="22"/>
        </w:rPr>
        <w:t xml:space="preserve"> </w:t>
      </w:r>
      <w:r w:rsidR="00AB5821">
        <w:rPr>
          <w:sz w:val="22"/>
          <w:szCs w:val="22"/>
        </w:rPr>
        <w:t xml:space="preserve">MHA </w:t>
      </w:r>
      <w:r w:rsidRPr="00AA0FD5">
        <w:rPr>
          <w:sz w:val="22"/>
          <w:szCs w:val="22"/>
        </w:rPr>
        <w:t>submission</w:t>
      </w:r>
      <w:r w:rsidR="00AB5821">
        <w:rPr>
          <w:sz w:val="22"/>
          <w:szCs w:val="22"/>
        </w:rPr>
        <w:t xml:space="preserve">. </w:t>
      </w:r>
      <w:r w:rsidR="00993CAA" w:rsidRPr="00AA0FD5">
        <w:rPr>
          <w:sz w:val="22"/>
          <w:szCs w:val="22"/>
        </w:rPr>
        <w:t xml:space="preserve"> </w:t>
      </w:r>
      <w:r w:rsidRPr="00AA0FD5">
        <w:rPr>
          <w:sz w:val="22"/>
          <w:szCs w:val="22"/>
        </w:rPr>
        <w:t xml:space="preserve">MHA had made a submission in response to public notice of the Application under section </w:t>
      </w:r>
      <w:r w:rsidR="00993CAA" w:rsidRPr="00AA0FD5">
        <w:rPr>
          <w:sz w:val="22"/>
          <w:szCs w:val="22"/>
        </w:rPr>
        <w:t>95</w:t>
      </w:r>
      <w:r w:rsidRPr="00AA0FD5">
        <w:rPr>
          <w:sz w:val="22"/>
          <w:szCs w:val="22"/>
        </w:rPr>
        <w:t xml:space="preserve"> of the Act. The </w:t>
      </w:r>
      <w:proofErr w:type="spellStart"/>
      <w:r w:rsidRPr="00AA0FD5">
        <w:rPr>
          <w:sz w:val="22"/>
          <w:szCs w:val="22"/>
        </w:rPr>
        <w:t>organi</w:t>
      </w:r>
      <w:r w:rsidR="00E056AF">
        <w:rPr>
          <w:sz w:val="22"/>
          <w:szCs w:val="22"/>
        </w:rPr>
        <w:t>s</w:t>
      </w:r>
      <w:r w:rsidRPr="00AA0FD5">
        <w:rPr>
          <w:sz w:val="22"/>
          <w:szCs w:val="22"/>
        </w:rPr>
        <w:t>ation</w:t>
      </w:r>
      <w:proofErr w:type="spellEnd"/>
      <w:r w:rsidRPr="00AA0FD5">
        <w:rPr>
          <w:sz w:val="22"/>
          <w:szCs w:val="22"/>
        </w:rPr>
        <w:t xml:space="preserve"> did not seek to be heard</w:t>
      </w:r>
      <w:r w:rsidR="00993CAA" w:rsidRPr="00AA0FD5">
        <w:rPr>
          <w:sz w:val="22"/>
          <w:szCs w:val="22"/>
        </w:rPr>
        <w:t xml:space="preserve"> but had forwarded expanded written material objecting to the Permit Application</w:t>
      </w:r>
      <w:r w:rsidR="00993CAA" w:rsidRPr="00273DC4">
        <w:rPr>
          <w:sz w:val="22"/>
          <w:szCs w:val="22"/>
        </w:rPr>
        <w:t>.</w:t>
      </w:r>
      <w:r w:rsidR="00AA0FD5" w:rsidRPr="00273DC4">
        <w:rPr>
          <w:sz w:val="22"/>
          <w:szCs w:val="22"/>
        </w:rPr>
        <w:t xml:space="preserve"> </w:t>
      </w:r>
    </w:p>
    <w:p w14:paraId="467CAEB7" w14:textId="77777777" w:rsidR="00AB5821" w:rsidRDefault="00B242F9">
      <w:pPr>
        <w:pStyle w:val="BP2"/>
        <w:numPr>
          <w:ilvl w:val="0"/>
          <w:numId w:val="3"/>
        </w:numPr>
        <w:tabs>
          <w:tab w:val="clear" w:pos="432"/>
          <w:tab w:val="left" w:pos="709"/>
        </w:tabs>
        <w:ind w:left="567" w:hanging="567"/>
        <w:rPr>
          <w:sz w:val="22"/>
          <w:szCs w:val="22"/>
        </w:rPr>
      </w:pPr>
      <w:r w:rsidRPr="008659A8">
        <w:rPr>
          <w:sz w:val="22"/>
          <w:szCs w:val="22"/>
        </w:rPr>
        <w:t xml:space="preserve">The Permit Applicant relied on written submissions concerning this matter and did not </w:t>
      </w:r>
      <w:r w:rsidR="00A055FE" w:rsidRPr="008659A8">
        <w:rPr>
          <w:sz w:val="22"/>
          <w:szCs w:val="22"/>
        </w:rPr>
        <w:t xml:space="preserve">expand on the issue at the </w:t>
      </w:r>
      <w:r w:rsidR="008C2A33" w:rsidRPr="008659A8">
        <w:rPr>
          <w:sz w:val="22"/>
          <w:szCs w:val="22"/>
        </w:rPr>
        <w:t>h</w:t>
      </w:r>
      <w:r w:rsidR="00A055FE" w:rsidRPr="008659A8">
        <w:rPr>
          <w:sz w:val="22"/>
          <w:szCs w:val="22"/>
        </w:rPr>
        <w:t>earing.</w:t>
      </w:r>
      <w:r w:rsidRPr="008659A8">
        <w:rPr>
          <w:sz w:val="22"/>
          <w:szCs w:val="22"/>
        </w:rPr>
        <w:t xml:space="preserve"> </w:t>
      </w:r>
    </w:p>
    <w:p w14:paraId="09821997" w14:textId="48824ABD" w:rsidR="00B242F9" w:rsidRPr="0058388A" w:rsidRDefault="00CE6271">
      <w:pPr>
        <w:pStyle w:val="BP2"/>
        <w:numPr>
          <w:ilvl w:val="0"/>
          <w:numId w:val="3"/>
        </w:numPr>
        <w:tabs>
          <w:tab w:val="clear" w:pos="432"/>
          <w:tab w:val="left" w:pos="709"/>
        </w:tabs>
        <w:ind w:left="567" w:hanging="567"/>
        <w:rPr>
          <w:sz w:val="22"/>
          <w:szCs w:val="22"/>
        </w:rPr>
      </w:pPr>
      <w:r w:rsidRPr="008659A8">
        <w:rPr>
          <w:sz w:val="22"/>
          <w:szCs w:val="22"/>
        </w:rPr>
        <w:t xml:space="preserve">The Permit Applicant’s written submission included that </w:t>
      </w:r>
      <w:r w:rsidR="00E1140F" w:rsidRPr="0058388A">
        <w:rPr>
          <w:sz w:val="22"/>
          <w:szCs w:val="22"/>
        </w:rPr>
        <w:t xml:space="preserve">each of the Divisions 2,4 and 5 of Part 5 of the Act relating to permits articulates the rights conferred on third parties in relation to each </w:t>
      </w:r>
      <w:r w:rsidR="00AB5821">
        <w:rPr>
          <w:sz w:val="22"/>
          <w:szCs w:val="22"/>
        </w:rPr>
        <w:t xml:space="preserve">of those </w:t>
      </w:r>
      <w:r w:rsidR="00E1140F" w:rsidRPr="0058388A">
        <w:rPr>
          <w:sz w:val="22"/>
          <w:szCs w:val="22"/>
        </w:rPr>
        <w:t>step</w:t>
      </w:r>
      <w:r w:rsidR="00AB5821">
        <w:rPr>
          <w:sz w:val="22"/>
          <w:szCs w:val="22"/>
        </w:rPr>
        <w:t>s</w:t>
      </w:r>
      <w:r w:rsidR="00E1140F" w:rsidRPr="0058388A">
        <w:rPr>
          <w:sz w:val="22"/>
          <w:szCs w:val="22"/>
        </w:rPr>
        <w:t xml:space="preserve"> in permit processing. Division 5</w:t>
      </w:r>
      <w:r w:rsidR="00AB5821">
        <w:rPr>
          <w:sz w:val="22"/>
          <w:szCs w:val="22"/>
        </w:rPr>
        <w:t>,</w:t>
      </w:r>
      <w:r w:rsidR="00E1140F" w:rsidRPr="0058388A">
        <w:rPr>
          <w:sz w:val="22"/>
          <w:szCs w:val="22"/>
        </w:rPr>
        <w:t xml:space="preserve"> which relates to reviews of </w:t>
      </w:r>
      <w:r w:rsidR="00AB10A8">
        <w:rPr>
          <w:sz w:val="22"/>
          <w:szCs w:val="22"/>
        </w:rPr>
        <w:t>Executive Director</w:t>
      </w:r>
      <w:r w:rsidR="00273DC4" w:rsidRPr="008659A8">
        <w:rPr>
          <w:sz w:val="22"/>
          <w:szCs w:val="22"/>
        </w:rPr>
        <w:t xml:space="preserve"> </w:t>
      </w:r>
      <w:r w:rsidR="006E4FBF">
        <w:rPr>
          <w:sz w:val="22"/>
          <w:szCs w:val="22"/>
        </w:rPr>
        <w:t xml:space="preserve">permit </w:t>
      </w:r>
      <w:r w:rsidR="00E1140F" w:rsidRPr="0058388A">
        <w:rPr>
          <w:sz w:val="22"/>
          <w:szCs w:val="22"/>
        </w:rPr>
        <w:t>determinations</w:t>
      </w:r>
      <w:r w:rsidR="00AB5821">
        <w:rPr>
          <w:sz w:val="22"/>
          <w:szCs w:val="22"/>
        </w:rPr>
        <w:t>,</w:t>
      </w:r>
      <w:r w:rsidR="00E1140F" w:rsidRPr="0058388A">
        <w:rPr>
          <w:sz w:val="22"/>
          <w:szCs w:val="22"/>
        </w:rPr>
        <w:t xml:space="preserve"> does not confer on members of the public a right to make submissions.</w:t>
      </w:r>
      <w:r w:rsidR="00AA0FD5" w:rsidRPr="0058388A">
        <w:rPr>
          <w:sz w:val="22"/>
          <w:szCs w:val="22"/>
        </w:rPr>
        <w:t xml:space="preserve"> </w:t>
      </w:r>
      <w:r w:rsidR="00E1140F" w:rsidRPr="0058388A">
        <w:rPr>
          <w:sz w:val="22"/>
          <w:szCs w:val="22"/>
        </w:rPr>
        <w:t xml:space="preserve">This was contrasted with section 95 of Division 2 relating to permit applications which does confer third party participation rights. </w:t>
      </w:r>
    </w:p>
    <w:p w14:paraId="4125CC9F" w14:textId="4C108BF3" w:rsidR="00AD398F" w:rsidRPr="0058388A" w:rsidRDefault="00E056AF" w:rsidP="004F5F06">
      <w:pPr>
        <w:pStyle w:val="BP2"/>
        <w:numPr>
          <w:ilvl w:val="0"/>
          <w:numId w:val="3"/>
        </w:numPr>
        <w:tabs>
          <w:tab w:val="clear" w:pos="432"/>
          <w:tab w:val="left" w:pos="709"/>
        </w:tabs>
        <w:ind w:left="567" w:hanging="567"/>
        <w:rPr>
          <w:sz w:val="22"/>
          <w:szCs w:val="22"/>
        </w:rPr>
      </w:pPr>
      <w:r>
        <w:rPr>
          <w:sz w:val="22"/>
          <w:szCs w:val="22"/>
        </w:rPr>
        <w:t>The Permit Applicant further submitted</w:t>
      </w:r>
      <w:r w:rsidR="00AD398F" w:rsidRPr="0058388A">
        <w:rPr>
          <w:sz w:val="22"/>
          <w:szCs w:val="22"/>
        </w:rPr>
        <w:t xml:space="preserve"> that there is nothing in the Act which would support the proposition that MHA having made a submission under section 95 is entitled to participate in the permit review. The </w:t>
      </w:r>
      <w:r>
        <w:rPr>
          <w:sz w:val="22"/>
          <w:szCs w:val="22"/>
        </w:rPr>
        <w:t>Permit Applicant’s</w:t>
      </w:r>
      <w:r w:rsidR="00AD398F" w:rsidRPr="0058388A">
        <w:rPr>
          <w:sz w:val="22"/>
          <w:szCs w:val="22"/>
        </w:rPr>
        <w:t xml:space="preserve"> submission </w:t>
      </w:r>
      <w:r w:rsidR="00AB5821">
        <w:rPr>
          <w:sz w:val="22"/>
          <w:szCs w:val="22"/>
        </w:rPr>
        <w:t>included</w:t>
      </w:r>
      <w:r w:rsidR="00AD398F" w:rsidRPr="0058388A">
        <w:rPr>
          <w:sz w:val="22"/>
          <w:szCs w:val="22"/>
        </w:rPr>
        <w:t>:</w:t>
      </w:r>
    </w:p>
    <w:p w14:paraId="0906C78F" w14:textId="6F238259" w:rsidR="00AD398F" w:rsidRPr="00247918" w:rsidRDefault="00AD398F" w:rsidP="00AD398F">
      <w:pPr>
        <w:pStyle w:val="Quote"/>
        <w:jc w:val="both"/>
        <w:rPr>
          <w:rFonts w:ascii="Arial" w:hAnsi="Arial" w:cs="Arial"/>
          <w:sz w:val="22"/>
        </w:rPr>
      </w:pPr>
      <w:r w:rsidRPr="00247918">
        <w:rPr>
          <w:rFonts w:ascii="Arial" w:hAnsi="Arial" w:cs="Arial"/>
          <w:sz w:val="22"/>
        </w:rPr>
        <w:t>Sections 106 and 108 set out who must be notified of a review application and who is entitled to participate. Had Parliament intended that any person who lodged a submission should be able to participate in a review proceeding, it could easily have provided for that in these sections. It did not do so.</w:t>
      </w:r>
    </w:p>
    <w:p w14:paraId="7CA1DABB" w14:textId="66CAE17A" w:rsidR="00AA0FD5" w:rsidRPr="0058388A" w:rsidRDefault="00AD398F" w:rsidP="00247918">
      <w:pPr>
        <w:pStyle w:val="BP2"/>
        <w:numPr>
          <w:ilvl w:val="0"/>
          <w:numId w:val="3"/>
        </w:numPr>
        <w:tabs>
          <w:tab w:val="clear" w:pos="432"/>
          <w:tab w:val="left" w:pos="709"/>
        </w:tabs>
        <w:ind w:left="567" w:hanging="567"/>
        <w:rPr>
          <w:sz w:val="22"/>
          <w:szCs w:val="22"/>
        </w:rPr>
      </w:pPr>
      <w:r w:rsidRPr="0058388A">
        <w:rPr>
          <w:sz w:val="22"/>
          <w:szCs w:val="22"/>
        </w:rPr>
        <w:t xml:space="preserve">The submission </w:t>
      </w:r>
      <w:r w:rsidR="00AB5821">
        <w:rPr>
          <w:sz w:val="22"/>
          <w:szCs w:val="22"/>
        </w:rPr>
        <w:t xml:space="preserve">also </w:t>
      </w:r>
      <w:r w:rsidR="00993CAA" w:rsidRPr="0058388A">
        <w:rPr>
          <w:sz w:val="22"/>
          <w:szCs w:val="22"/>
        </w:rPr>
        <w:t xml:space="preserve">noted the </w:t>
      </w:r>
      <w:r w:rsidR="00AB5821">
        <w:rPr>
          <w:sz w:val="22"/>
          <w:szCs w:val="22"/>
        </w:rPr>
        <w:t xml:space="preserve">contrasting </w:t>
      </w:r>
      <w:r w:rsidR="00993CAA" w:rsidRPr="0058388A">
        <w:rPr>
          <w:sz w:val="22"/>
          <w:szCs w:val="22"/>
        </w:rPr>
        <w:t xml:space="preserve">special arrangements made in section 108(6) for the National Trust to participate in the review hearing if they had earlier lodged a submission with the </w:t>
      </w:r>
      <w:r w:rsidR="00AB10A8">
        <w:rPr>
          <w:sz w:val="22"/>
          <w:szCs w:val="22"/>
        </w:rPr>
        <w:t>Executive Director</w:t>
      </w:r>
      <w:r w:rsidR="00AA0FD5" w:rsidRPr="0058388A">
        <w:rPr>
          <w:sz w:val="22"/>
          <w:szCs w:val="22"/>
        </w:rPr>
        <w:t>. It was submitted that if Parliament had intended that such an arrangement apply to all third parties, it might have easily included such a provision.</w:t>
      </w:r>
    </w:p>
    <w:p w14:paraId="404C90FC" w14:textId="5341B9E2" w:rsidR="00AD398F" w:rsidRPr="0058388A" w:rsidRDefault="00AA0FD5" w:rsidP="00247918">
      <w:pPr>
        <w:pStyle w:val="BP2"/>
        <w:numPr>
          <w:ilvl w:val="0"/>
          <w:numId w:val="3"/>
        </w:numPr>
        <w:tabs>
          <w:tab w:val="clear" w:pos="432"/>
          <w:tab w:val="left" w:pos="709"/>
        </w:tabs>
        <w:ind w:left="567" w:hanging="567"/>
        <w:rPr>
          <w:sz w:val="22"/>
          <w:szCs w:val="22"/>
        </w:rPr>
      </w:pPr>
      <w:r w:rsidRPr="0058388A">
        <w:rPr>
          <w:sz w:val="22"/>
          <w:szCs w:val="22"/>
        </w:rPr>
        <w:t>The</w:t>
      </w:r>
      <w:r w:rsidR="00E056AF">
        <w:rPr>
          <w:sz w:val="22"/>
          <w:szCs w:val="22"/>
        </w:rPr>
        <w:t xml:space="preserve"> Permit</w:t>
      </w:r>
      <w:r w:rsidRPr="0058388A">
        <w:rPr>
          <w:sz w:val="22"/>
          <w:szCs w:val="22"/>
        </w:rPr>
        <w:t xml:space="preserve"> Applicant’s submission </w:t>
      </w:r>
      <w:r w:rsidR="00AD398F" w:rsidRPr="0058388A">
        <w:rPr>
          <w:sz w:val="22"/>
          <w:szCs w:val="22"/>
        </w:rPr>
        <w:t>went on to say that</w:t>
      </w:r>
      <w:r w:rsidR="00AB5821">
        <w:rPr>
          <w:sz w:val="22"/>
          <w:szCs w:val="22"/>
        </w:rPr>
        <w:t>,</w:t>
      </w:r>
      <w:r w:rsidR="00AD398F" w:rsidRPr="0058388A">
        <w:rPr>
          <w:sz w:val="22"/>
          <w:szCs w:val="22"/>
        </w:rPr>
        <w:t xml:space="preserve"> if, contrary to </w:t>
      </w:r>
      <w:r w:rsidR="008659A8" w:rsidRPr="0058388A">
        <w:rPr>
          <w:sz w:val="22"/>
          <w:szCs w:val="22"/>
        </w:rPr>
        <w:t>its</w:t>
      </w:r>
      <w:r w:rsidR="00AD398F" w:rsidRPr="0058388A">
        <w:rPr>
          <w:sz w:val="22"/>
          <w:szCs w:val="22"/>
        </w:rPr>
        <w:t xml:space="preserve"> submissions, MHA’s submission </w:t>
      </w:r>
      <w:r w:rsidR="00AB5821" w:rsidRPr="00AE0170">
        <w:rPr>
          <w:sz w:val="22"/>
          <w:szCs w:val="22"/>
        </w:rPr>
        <w:t>w</w:t>
      </w:r>
      <w:r w:rsidR="00AB5821">
        <w:rPr>
          <w:sz w:val="22"/>
          <w:szCs w:val="22"/>
        </w:rPr>
        <w:t>as</w:t>
      </w:r>
      <w:r w:rsidR="00AD398F" w:rsidRPr="0058388A">
        <w:rPr>
          <w:sz w:val="22"/>
          <w:szCs w:val="22"/>
        </w:rPr>
        <w:t xml:space="preserve"> received, it should not be received in full because it went beyond the scope of the review. It was argued, based on the approach adopted by VCAT to </w:t>
      </w:r>
      <w:r w:rsidR="00292B1D">
        <w:rPr>
          <w:sz w:val="22"/>
          <w:szCs w:val="22"/>
        </w:rPr>
        <w:t xml:space="preserve">planning permit </w:t>
      </w:r>
      <w:r w:rsidR="00AD398F" w:rsidRPr="0058388A">
        <w:rPr>
          <w:sz w:val="22"/>
          <w:szCs w:val="22"/>
        </w:rPr>
        <w:t>conditions reviews</w:t>
      </w:r>
      <w:r w:rsidRPr="0058388A">
        <w:rPr>
          <w:sz w:val="22"/>
          <w:szCs w:val="22"/>
        </w:rPr>
        <w:t>,</w:t>
      </w:r>
      <w:r w:rsidR="00AD398F" w:rsidRPr="0058388A">
        <w:rPr>
          <w:sz w:val="22"/>
          <w:szCs w:val="22"/>
        </w:rPr>
        <w:t xml:space="preserve"> that the submission should be confined to the issue of Condition 2 and not be permitted to challenge </w:t>
      </w:r>
      <w:r w:rsidR="00AB5821">
        <w:rPr>
          <w:sz w:val="22"/>
          <w:szCs w:val="22"/>
        </w:rPr>
        <w:t xml:space="preserve">the application </w:t>
      </w:r>
      <w:r w:rsidR="00AD398F" w:rsidRPr="0058388A">
        <w:rPr>
          <w:sz w:val="22"/>
          <w:szCs w:val="22"/>
        </w:rPr>
        <w:t xml:space="preserve">or propose other </w:t>
      </w:r>
      <w:r w:rsidRPr="0058388A">
        <w:rPr>
          <w:sz w:val="22"/>
          <w:szCs w:val="22"/>
        </w:rPr>
        <w:t xml:space="preserve">permit </w:t>
      </w:r>
      <w:r w:rsidR="00AD398F" w:rsidRPr="0058388A">
        <w:rPr>
          <w:sz w:val="22"/>
          <w:szCs w:val="22"/>
        </w:rPr>
        <w:t>conditions.</w:t>
      </w:r>
    </w:p>
    <w:p w14:paraId="3FE17813" w14:textId="778022D8" w:rsidR="00AA0FD5" w:rsidRPr="0058388A" w:rsidRDefault="00AA0FD5" w:rsidP="00247918">
      <w:pPr>
        <w:pStyle w:val="BP2"/>
        <w:numPr>
          <w:ilvl w:val="0"/>
          <w:numId w:val="3"/>
        </w:numPr>
        <w:tabs>
          <w:tab w:val="clear" w:pos="432"/>
          <w:tab w:val="left" w:pos="709"/>
        </w:tabs>
        <w:ind w:left="567" w:hanging="567"/>
        <w:rPr>
          <w:sz w:val="22"/>
          <w:szCs w:val="22"/>
        </w:rPr>
      </w:pPr>
      <w:r w:rsidRPr="0058388A">
        <w:rPr>
          <w:sz w:val="22"/>
          <w:szCs w:val="22"/>
        </w:rPr>
        <w:t xml:space="preserve">The </w:t>
      </w:r>
      <w:r w:rsidR="00AB10A8">
        <w:rPr>
          <w:sz w:val="22"/>
          <w:szCs w:val="22"/>
        </w:rPr>
        <w:t>Executive Director</w:t>
      </w:r>
      <w:r w:rsidRPr="0058388A">
        <w:rPr>
          <w:sz w:val="22"/>
          <w:szCs w:val="22"/>
        </w:rPr>
        <w:t xml:space="preserve"> made no submission concerning this matter of the receipt of the MHA </w:t>
      </w:r>
      <w:r w:rsidR="00AB5821">
        <w:rPr>
          <w:sz w:val="22"/>
          <w:szCs w:val="22"/>
        </w:rPr>
        <w:t>m</w:t>
      </w:r>
      <w:r w:rsidRPr="0058388A">
        <w:rPr>
          <w:sz w:val="22"/>
          <w:szCs w:val="22"/>
        </w:rPr>
        <w:t>aterial.</w:t>
      </w:r>
    </w:p>
    <w:p w14:paraId="7F0E30B4" w14:textId="1D403C2B" w:rsidR="005D7C5E" w:rsidRPr="0058388A" w:rsidRDefault="00AA0FD5" w:rsidP="00247918">
      <w:pPr>
        <w:pStyle w:val="BP2"/>
        <w:numPr>
          <w:ilvl w:val="0"/>
          <w:numId w:val="3"/>
        </w:numPr>
        <w:tabs>
          <w:tab w:val="clear" w:pos="432"/>
          <w:tab w:val="left" w:pos="709"/>
        </w:tabs>
        <w:ind w:left="567" w:hanging="567"/>
        <w:rPr>
          <w:sz w:val="22"/>
          <w:szCs w:val="22"/>
        </w:rPr>
      </w:pPr>
      <w:r w:rsidRPr="0058388A">
        <w:rPr>
          <w:sz w:val="22"/>
          <w:szCs w:val="22"/>
        </w:rPr>
        <w:t xml:space="preserve">The Committee has considered this issue </w:t>
      </w:r>
      <w:r w:rsidR="005D7C5E" w:rsidRPr="0058388A">
        <w:rPr>
          <w:sz w:val="22"/>
          <w:szCs w:val="22"/>
        </w:rPr>
        <w:t xml:space="preserve">and notes </w:t>
      </w:r>
      <w:r w:rsidR="00AB5821">
        <w:rPr>
          <w:sz w:val="22"/>
          <w:szCs w:val="22"/>
        </w:rPr>
        <w:t xml:space="preserve">that </w:t>
      </w:r>
      <w:r w:rsidR="005D7C5E" w:rsidRPr="0058388A">
        <w:rPr>
          <w:sz w:val="22"/>
          <w:szCs w:val="22"/>
        </w:rPr>
        <w:t xml:space="preserve">the specified functions and powers of the Heritage Council at section 11 of the Act include the conduct of reviews such as the present one (section 11(j)). The Committee also notes the general powers set out in section 14 </w:t>
      </w:r>
      <w:r w:rsidR="00273DC4" w:rsidRPr="0058388A">
        <w:rPr>
          <w:sz w:val="22"/>
          <w:szCs w:val="22"/>
        </w:rPr>
        <w:t>which so far as are relevant include</w:t>
      </w:r>
      <w:r w:rsidR="005D7C5E" w:rsidRPr="0058388A">
        <w:rPr>
          <w:sz w:val="22"/>
          <w:szCs w:val="22"/>
        </w:rPr>
        <w:t>:</w:t>
      </w:r>
    </w:p>
    <w:p w14:paraId="720D8B27" w14:textId="05870C40" w:rsidR="005D7C5E" w:rsidRPr="00247918" w:rsidRDefault="005D7C5E" w:rsidP="005D7C5E">
      <w:pPr>
        <w:pStyle w:val="Quote"/>
        <w:numPr>
          <w:ilvl w:val="0"/>
          <w:numId w:val="26"/>
        </w:numPr>
        <w:jc w:val="both"/>
        <w:rPr>
          <w:rFonts w:ascii="Arial" w:eastAsiaTheme="minorEastAsia" w:hAnsi="Arial" w:cs="Arial"/>
          <w:sz w:val="22"/>
          <w:lang w:val="en-US" w:bidi="hi-IN"/>
        </w:rPr>
      </w:pPr>
      <w:r w:rsidRPr="00247918">
        <w:rPr>
          <w:rFonts w:ascii="Arial" w:eastAsiaTheme="minorEastAsia" w:hAnsi="Arial" w:cs="Arial"/>
          <w:sz w:val="22"/>
          <w:lang w:val="en-US" w:bidi="hi-IN"/>
        </w:rPr>
        <w:lastRenderedPageBreak/>
        <w:t>In performing its functions or duties or exercising its powers under the Act, the Heritage Council or a committee may do any of the following-</w:t>
      </w:r>
    </w:p>
    <w:p w14:paraId="28EDAE38" w14:textId="68E36622" w:rsidR="005D7C5E" w:rsidRPr="00247918" w:rsidRDefault="00273DC4" w:rsidP="00247918">
      <w:pPr>
        <w:pStyle w:val="Quote"/>
        <w:ind w:left="1224"/>
        <w:jc w:val="both"/>
        <w:rPr>
          <w:rFonts w:ascii="Arial" w:eastAsiaTheme="minorEastAsia" w:hAnsi="Arial" w:cs="Arial"/>
          <w:sz w:val="22"/>
          <w:lang w:val="en-US" w:bidi="hi-IN"/>
        </w:rPr>
      </w:pPr>
      <w:r w:rsidRPr="00247918">
        <w:rPr>
          <w:rFonts w:ascii="Arial" w:eastAsiaTheme="minorEastAsia" w:hAnsi="Arial" w:cs="Arial"/>
          <w:sz w:val="22"/>
          <w:lang w:val="en-US" w:bidi="hi-IN"/>
        </w:rPr>
        <w:t>(a) consult with any person or body;</w:t>
      </w:r>
    </w:p>
    <w:p w14:paraId="11BB111C" w14:textId="7388AE60" w:rsidR="00273DC4" w:rsidRPr="00247918" w:rsidRDefault="00273DC4" w:rsidP="00247918">
      <w:pPr>
        <w:pStyle w:val="Quote"/>
        <w:ind w:left="1224"/>
        <w:jc w:val="both"/>
        <w:rPr>
          <w:rFonts w:ascii="Arial" w:eastAsiaTheme="minorEastAsia" w:hAnsi="Arial" w:cs="Arial"/>
          <w:sz w:val="22"/>
          <w:lang w:val="en-US" w:bidi="hi-IN"/>
        </w:rPr>
      </w:pPr>
      <w:r w:rsidRPr="00247918">
        <w:rPr>
          <w:rFonts w:ascii="Arial" w:eastAsiaTheme="minorEastAsia" w:hAnsi="Arial" w:cs="Arial"/>
          <w:sz w:val="22"/>
          <w:lang w:val="en-US" w:bidi="hi-IN"/>
        </w:rPr>
        <w:t>(b) perform any investigations it considers appropriate</w:t>
      </w:r>
    </w:p>
    <w:p w14:paraId="2EC0961A" w14:textId="2CF8B08E" w:rsidR="00273DC4" w:rsidRPr="00247918" w:rsidRDefault="00273DC4" w:rsidP="00247918">
      <w:pPr>
        <w:pStyle w:val="Quote"/>
        <w:ind w:left="1224"/>
        <w:jc w:val="both"/>
        <w:rPr>
          <w:rFonts w:ascii="Arial" w:eastAsiaTheme="minorEastAsia" w:hAnsi="Arial" w:cs="Arial"/>
          <w:sz w:val="22"/>
          <w:lang w:val="en-US" w:bidi="hi-IN"/>
        </w:rPr>
      </w:pPr>
      <w:r w:rsidRPr="00247918">
        <w:rPr>
          <w:rFonts w:ascii="Arial" w:eastAsiaTheme="minorEastAsia" w:hAnsi="Arial" w:cs="Arial"/>
          <w:sz w:val="22"/>
          <w:lang w:val="en-US" w:bidi="hi-IN"/>
        </w:rPr>
        <w:t>(d) have regard to any information it considers relevant.</w:t>
      </w:r>
    </w:p>
    <w:p w14:paraId="6E00EBA8" w14:textId="3A1444FB" w:rsidR="0058388A" w:rsidRDefault="00C4040B" w:rsidP="00247918">
      <w:pPr>
        <w:pStyle w:val="BP2"/>
        <w:numPr>
          <w:ilvl w:val="0"/>
          <w:numId w:val="3"/>
        </w:numPr>
        <w:tabs>
          <w:tab w:val="clear" w:pos="432"/>
          <w:tab w:val="left" w:pos="709"/>
        </w:tabs>
        <w:ind w:left="567" w:hanging="567"/>
        <w:rPr>
          <w:sz w:val="22"/>
          <w:szCs w:val="22"/>
        </w:rPr>
      </w:pPr>
      <w:r>
        <w:rPr>
          <w:sz w:val="22"/>
          <w:szCs w:val="22"/>
        </w:rPr>
        <w:t xml:space="preserve">The Committee also notes that Part 12 of the Act includes general powers </w:t>
      </w:r>
      <w:r w:rsidR="00292B1D">
        <w:rPr>
          <w:sz w:val="22"/>
          <w:szCs w:val="22"/>
        </w:rPr>
        <w:t>relating to</w:t>
      </w:r>
      <w:r>
        <w:rPr>
          <w:sz w:val="22"/>
          <w:szCs w:val="22"/>
        </w:rPr>
        <w:t xml:space="preserve"> the conduct of hearings. Relevant provisions include section </w:t>
      </w:r>
      <w:r w:rsidR="002A14A2">
        <w:rPr>
          <w:sz w:val="22"/>
          <w:szCs w:val="22"/>
        </w:rPr>
        <w:t>254 which states that</w:t>
      </w:r>
      <w:r w:rsidR="0058388A">
        <w:rPr>
          <w:sz w:val="22"/>
          <w:szCs w:val="22"/>
        </w:rPr>
        <w:t>:</w:t>
      </w:r>
    </w:p>
    <w:p w14:paraId="1E6E209C" w14:textId="31D5C4C4" w:rsidR="00C4040B" w:rsidRPr="00247918" w:rsidRDefault="002A14A2" w:rsidP="00247918">
      <w:pPr>
        <w:pStyle w:val="Quote"/>
        <w:ind w:left="0"/>
        <w:rPr>
          <w:rFonts w:ascii="Arial" w:eastAsiaTheme="minorEastAsia" w:hAnsi="Arial" w:cs="Arial"/>
          <w:sz w:val="22"/>
          <w:lang w:val="en-US" w:bidi="hi-IN"/>
        </w:rPr>
      </w:pPr>
      <w:r w:rsidRPr="00247918">
        <w:rPr>
          <w:rFonts w:ascii="Arial" w:eastAsiaTheme="minorEastAsia" w:hAnsi="Arial" w:cs="Arial"/>
          <w:sz w:val="22"/>
          <w:lang w:val="en-US" w:bidi="hi-IN"/>
        </w:rPr>
        <w:t>The Heritage Council may regulate i</w:t>
      </w:r>
      <w:r w:rsidR="0043365D">
        <w:rPr>
          <w:rFonts w:ascii="Arial" w:eastAsiaTheme="minorEastAsia" w:hAnsi="Arial" w:cs="Arial"/>
          <w:sz w:val="22"/>
          <w:lang w:val="en-US" w:bidi="hi-IN"/>
        </w:rPr>
        <w:t>t</w:t>
      </w:r>
      <w:r w:rsidRPr="00247918">
        <w:rPr>
          <w:rFonts w:ascii="Arial" w:eastAsiaTheme="minorEastAsia" w:hAnsi="Arial" w:cs="Arial"/>
          <w:sz w:val="22"/>
          <w:lang w:val="en-US" w:bidi="hi-IN"/>
        </w:rPr>
        <w:t xml:space="preserve">s own proceedings. </w:t>
      </w:r>
    </w:p>
    <w:p w14:paraId="64DDB7C7" w14:textId="4A4F064F" w:rsidR="00A237E5" w:rsidRDefault="00273DC4" w:rsidP="00247918">
      <w:pPr>
        <w:pStyle w:val="BP2"/>
        <w:numPr>
          <w:ilvl w:val="0"/>
          <w:numId w:val="3"/>
        </w:numPr>
        <w:tabs>
          <w:tab w:val="clear" w:pos="432"/>
          <w:tab w:val="left" w:pos="709"/>
        </w:tabs>
        <w:ind w:left="567" w:hanging="567"/>
        <w:rPr>
          <w:sz w:val="22"/>
          <w:szCs w:val="22"/>
        </w:rPr>
      </w:pPr>
      <w:r w:rsidRPr="0058388A">
        <w:rPr>
          <w:sz w:val="22"/>
          <w:szCs w:val="22"/>
        </w:rPr>
        <w:t xml:space="preserve">The Committee is aware that it has been the practice of permit review committees to invite third parties who have made section 95 submissions to participate in review hearings. The Committee expects that so far as the present Act is concerned this relies on the </w:t>
      </w:r>
      <w:r w:rsidR="00A237E5">
        <w:rPr>
          <w:sz w:val="22"/>
          <w:szCs w:val="22"/>
        </w:rPr>
        <w:t xml:space="preserve">general </w:t>
      </w:r>
      <w:r w:rsidRPr="0058388A">
        <w:rPr>
          <w:sz w:val="22"/>
          <w:szCs w:val="22"/>
        </w:rPr>
        <w:t>powers available under section 14</w:t>
      </w:r>
      <w:r w:rsidR="002A14A2">
        <w:rPr>
          <w:sz w:val="22"/>
          <w:szCs w:val="22"/>
        </w:rPr>
        <w:t xml:space="preserve"> and section 254</w:t>
      </w:r>
      <w:r w:rsidRPr="0058388A">
        <w:rPr>
          <w:sz w:val="22"/>
          <w:szCs w:val="22"/>
        </w:rPr>
        <w:t xml:space="preserve">. </w:t>
      </w:r>
    </w:p>
    <w:p w14:paraId="1B683693" w14:textId="23B1B827" w:rsidR="00AA0FD5" w:rsidRPr="002C2D44" w:rsidRDefault="00A237E5" w:rsidP="00247918">
      <w:pPr>
        <w:pStyle w:val="BP2"/>
        <w:numPr>
          <w:ilvl w:val="0"/>
          <w:numId w:val="3"/>
        </w:numPr>
        <w:tabs>
          <w:tab w:val="clear" w:pos="432"/>
          <w:tab w:val="left" w:pos="709"/>
        </w:tabs>
        <w:ind w:left="567" w:hanging="567"/>
        <w:rPr>
          <w:sz w:val="22"/>
          <w:szCs w:val="22"/>
        </w:rPr>
      </w:pPr>
      <w:r w:rsidRPr="00A237E5">
        <w:rPr>
          <w:sz w:val="22"/>
          <w:szCs w:val="22"/>
        </w:rPr>
        <w:t>The Committee, however, does not find it necessary to determine the correctness of this approach</w:t>
      </w:r>
      <w:r w:rsidR="006E4FBF">
        <w:rPr>
          <w:sz w:val="22"/>
          <w:szCs w:val="22"/>
        </w:rPr>
        <w:t xml:space="preserve"> here</w:t>
      </w:r>
      <w:r>
        <w:rPr>
          <w:sz w:val="22"/>
          <w:szCs w:val="22"/>
        </w:rPr>
        <w:t>,</w:t>
      </w:r>
      <w:r w:rsidRPr="00A237E5">
        <w:rPr>
          <w:sz w:val="22"/>
          <w:szCs w:val="22"/>
        </w:rPr>
        <w:t xml:space="preserve"> as </w:t>
      </w:r>
      <w:r>
        <w:rPr>
          <w:sz w:val="22"/>
          <w:szCs w:val="22"/>
        </w:rPr>
        <w:t>t</w:t>
      </w:r>
      <w:r w:rsidR="00273DC4" w:rsidRPr="0058388A">
        <w:rPr>
          <w:sz w:val="22"/>
          <w:szCs w:val="22"/>
        </w:rPr>
        <w:t xml:space="preserve">he Committee agrees with the Permit Applicant’s submission that the scope of </w:t>
      </w:r>
      <w:r w:rsidR="008659A8" w:rsidRPr="0058388A">
        <w:rPr>
          <w:sz w:val="22"/>
          <w:szCs w:val="22"/>
        </w:rPr>
        <w:t>m</w:t>
      </w:r>
      <w:r w:rsidR="00273DC4" w:rsidRPr="0058388A">
        <w:rPr>
          <w:sz w:val="22"/>
          <w:szCs w:val="22"/>
        </w:rPr>
        <w:t>atters in a conditions review should generally be confined to those relating to the disputed condition</w:t>
      </w:r>
      <w:r w:rsidR="008659A8" w:rsidRPr="0058388A">
        <w:rPr>
          <w:sz w:val="22"/>
          <w:szCs w:val="22"/>
        </w:rPr>
        <w:t xml:space="preserve">(s) and considers that the MHA submission goes well beyond such </w:t>
      </w:r>
      <w:r w:rsidR="008659A8" w:rsidRPr="002C2D44">
        <w:rPr>
          <w:sz w:val="22"/>
          <w:szCs w:val="22"/>
        </w:rPr>
        <w:t xml:space="preserve">limits. </w:t>
      </w:r>
      <w:r w:rsidRPr="002C2D44">
        <w:rPr>
          <w:sz w:val="22"/>
          <w:szCs w:val="22"/>
        </w:rPr>
        <w:t xml:space="preserve">Further, the Committee considers that </w:t>
      </w:r>
      <w:r w:rsidR="008659A8" w:rsidRPr="002C2D44">
        <w:rPr>
          <w:sz w:val="22"/>
          <w:szCs w:val="22"/>
        </w:rPr>
        <w:t xml:space="preserve">the MHA submission so far as it does relate </w:t>
      </w:r>
      <w:r w:rsidR="005D7C5E" w:rsidRPr="002C2D44">
        <w:rPr>
          <w:sz w:val="22"/>
          <w:szCs w:val="22"/>
        </w:rPr>
        <w:t xml:space="preserve">to Condition 2 </w:t>
      </w:r>
      <w:r w:rsidRPr="002C2D44">
        <w:rPr>
          <w:sz w:val="22"/>
          <w:szCs w:val="22"/>
        </w:rPr>
        <w:t xml:space="preserve">is </w:t>
      </w:r>
      <w:r w:rsidR="008659A8" w:rsidRPr="002C2D44">
        <w:rPr>
          <w:sz w:val="22"/>
          <w:szCs w:val="22"/>
        </w:rPr>
        <w:t>contradictory and not helpful</w:t>
      </w:r>
      <w:r w:rsidRPr="002C2D44">
        <w:rPr>
          <w:sz w:val="22"/>
          <w:szCs w:val="22"/>
        </w:rPr>
        <w:t xml:space="preserve">. </w:t>
      </w:r>
      <w:r w:rsidR="00CB2A6D" w:rsidRPr="002C2D44">
        <w:rPr>
          <w:sz w:val="22"/>
          <w:szCs w:val="22"/>
        </w:rPr>
        <w:t xml:space="preserve">While their original submission in regard to the permit application, dated 24 January 2019, stated that they did not object to the permit application, in later </w:t>
      </w:r>
      <w:r w:rsidR="002C2D44" w:rsidRPr="002C2D44">
        <w:rPr>
          <w:sz w:val="22"/>
          <w:szCs w:val="22"/>
        </w:rPr>
        <w:t xml:space="preserve">review submissions from June 2019 they objected to the introduction of the new doors. </w:t>
      </w:r>
      <w:r w:rsidRPr="002C2D44">
        <w:rPr>
          <w:sz w:val="22"/>
          <w:szCs w:val="22"/>
        </w:rPr>
        <w:t>N</w:t>
      </w:r>
      <w:r w:rsidR="008659A8" w:rsidRPr="002C2D44">
        <w:rPr>
          <w:sz w:val="22"/>
          <w:szCs w:val="22"/>
        </w:rPr>
        <w:t>o weight has been given to the submission.</w:t>
      </w:r>
    </w:p>
    <w:p w14:paraId="65883B3F" w14:textId="210E6342" w:rsidR="006E4FBF" w:rsidRDefault="006E4FBF" w:rsidP="006E4FBF">
      <w:pPr>
        <w:pStyle w:val="H3AFTER"/>
        <w:rPr>
          <w:b/>
          <w:sz w:val="24"/>
          <w:lang w:eastAsia="en-AU"/>
        </w:rPr>
      </w:pPr>
    </w:p>
    <w:p w14:paraId="6A06E014" w14:textId="2B95B4C2" w:rsidR="00A94B61" w:rsidRPr="006E4FBF" w:rsidRDefault="00AB5821" w:rsidP="0058388A">
      <w:pPr>
        <w:pStyle w:val="H3AFTER"/>
        <w:rPr>
          <w:b/>
          <w:sz w:val="24"/>
          <w:lang w:eastAsia="en-AU"/>
        </w:rPr>
      </w:pPr>
      <w:r w:rsidRPr="00C86CAC">
        <w:rPr>
          <w:b/>
          <w:sz w:val="24"/>
          <w:lang w:eastAsia="en-AU"/>
        </w:rPr>
        <w:t>CONSIDERATION OF THE</w:t>
      </w:r>
      <w:r w:rsidRPr="0058388A">
        <w:rPr>
          <w:b/>
          <w:bCs/>
          <w:caps/>
          <w:sz w:val="24"/>
          <w:szCs w:val="28"/>
          <w:lang w:eastAsia="en-AU"/>
        </w:rPr>
        <w:t xml:space="preserve"> </w:t>
      </w:r>
      <w:r w:rsidR="00A94B61" w:rsidRPr="006E4FBF">
        <w:rPr>
          <w:b/>
          <w:sz w:val="24"/>
          <w:lang w:eastAsia="en-AU"/>
        </w:rPr>
        <w:t>ISSUES</w:t>
      </w:r>
    </w:p>
    <w:p w14:paraId="5C6F7AEB" w14:textId="701D724C" w:rsidR="00757082" w:rsidRDefault="3AB8B1F8" w:rsidP="000411B7">
      <w:pPr>
        <w:pStyle w:val="BP2"/>
        <w:numPr>
          <w:ilvl w:val="0"/>
          <w:numId w:val="3"/>
        </w:numPr>
        <w:tabs>
          <w:tab w:val="clear" w:pos="432"/>
          <w:tab w:val="left" w:pos="709"/>
        </w:tabs>
        <w:ind w:left="567" w:hanging="567"/>
        <w:rPr>
          <w:sz w:val="22"/>
          <w:szCs w:val="22"/>
        </w:rPr>
      </w:pPr>
      <w:r w:rsidRPr="00A94B61">
        <w:rPr>
          <w:sz w:val="22"/>
          <w:szCs w:val="22"/>
        </w:rPr>
        <w:t>The following section</w:t>
      </w:r>
      <w:r w:rsidR="00AE0170">
        <w:rPr>
          <w:sz w:val="22"/>
          <w:szCs w:val="22"/>
        </w:rPr>
        <w:t xml:space="preserve">s are </w:t>
      </w:r>
      <w:r w:rsidRPr="00A94B61">
        <w:rPr>
          <w:sz w:val="22"/>
          <w:szCs w:val="22"/>
        </w:rPr>
        <w:t>not intended to be a complete record of submissions that were made to the Committee</w:t>
      </w:r>
      <w:r w:rsidR="00A237E5">
        <w:rPr>
          <w:sz w:val="22"/>
          <w:szCs w:val="22"/>
        </w:rPr>
        <w:t xml:space="preserve"> at the hearing</w:t>
      </w:r>
      <w:r w:rsidRPr="00A94B61">
        <w:rPr>
          <w:sz w:val="22"/>
          <w:szCs w:val="22"/>
        </w:rPr>
        <w:t xml:space="preserve">. </w:t>
      </w:r>
      <w:r w:rsidR="00A77D51">
        <w:rPr>
          <w:sz w:val="22"/>
          <w:szCs w:val="22"/>
        </w:rPr>
        <w:t xml:space="preserve">They present </w:t>
      </w:r>
      <w:r w:rsidRPr="00A94B61">
        <w:rPr>
          <w:sz w:val="22"/>
          <w:szCs w:val="22"/>
        </w:rPr>
        <w:t xml:space="preserve">a summary </w:t>
      </w:r>
      <w:r w:rsidR="00AB5821">
        <w:rPr>
          <w:sz w:val="22"/>
          <w:szCs w:val="22"/>
        </w:rPr>
        <w:t xml:space="preserve">of submissions made </w:t>
      </w:r>
      <w:r w:rsidR="005A5A5B">
        <w:rPr>
          <w:sz w:val="22"/>
          <w:szCs w:val="22"/>
        </w:rPr>
        <w:t>in relation to</w:t>
      </w:r>
      <w:r w:rsidR="00AB5821">
        <w:rPr>
          <w:sz w:val="22"/>
          <w:szCs w:val="22"/>
        </w:rPr>
        <w:t xml:space="preserve"> </w:t>
      </w:r>
      <w:r w:rsidRPr="00A94B61">
        <w:rPr>
          <w:sz w:val="22"/>
          <w:szCs w:val="22"/>
        </w:rPr>
        <w:t>what the Committee considers to be the key issues</w:t>
      </w:r>
      <w:r w:rsidR="00AB5821">
        <w:rPr>
          <w:sz w:val="22"/>
          <w:szCs w:val="22"/>
        </w:rPr>
        <w:t xml:space="preserve">. The Committee addresses each issue and presents its </w:t>
      </w:r>
      <w:r w:rsidR="005A5A5B">
        <w:rPr>
          <w:sz w:val="22"/>
          <w:szCs w:val="22"/>
        </w:rPr>
        <w:t>conclusions.</w:t>
      </w:r>
    </w:p>
    <w:p w14:paraId="08C0FB8D" w14:textId="6AD67E96" w:rsidR="00BB6236" w:rsidRDefault="00BB6236" w:rsidP="000411B7">
      <w:pPr>
        <w:pStyle w:val="BP2"/>
        <w:numPr>
          <w:ilvl w:val="0"/>
          <w:numId w:val="3"/>
        </w:numPr>
        <w:tabs>
          <w:tab w:val="clear" w:pos="432"/>
          <w:tab w:val="left" w:pos="709"/>
        </w:tabs>
        <w:ind w:left="567" w:hanging="567"/>
        <w:rPr>
          <w:sz w:val="22"/>
          <w:szCs w:val="22"/>
        </w:rPr>
      </w:pPr>
      <w:r>
        <w:rPr>
          <w:sz w:val="22"/>
          <w:szCs w:val="22"/>
        </w:rPr>
        <w:t xml:space="preserve">The Committee </w:t>
      </w:r>
      <w:r w:rsidR="00DC60E1">
        <w:rPr>
          <w:sz w:val="22"/>
          <w:szCs w:val="22"/>
        </w:rPr>
        <w:t xml:space="preserve">and </w:t>
      </w:r>
      <w:r>
        <w:rPr>
          <w:sz w:val="22"/>
          <w:szCs w:val="22"/>
        </w:rPr>
        <w:t xml:space="preserve">the </w:t>
      </w:r>
      <w:r w:rsidR="00AB10A8">
        <w:rPr>
          <w:sz w:val="22"/>
          <w:szCs w:val="22"/>
        </w:rPr>
        <w:t>hearing participants f</w:t>
      </w:r>
      <w:r>
        <w:rPr>
          <w:sz w:val="22"/>
          <w:szCs w:val="22"/>
        </w:rPr>
        <w:t xml:space="preserve">ound general assistance </w:t>
      </w:r>
      <w:r w:rsidR="00DC60E1">
        <w:rPr>
          <w:sz w:val="22"/>
          <w:szCs w:val="22"/>
        </w:rPr>
        <w:t xml:space="preserve">in relation to matters to be considered in the context of a conditions review </w:t>
      </w:r>
      <w:r>
        <w:rPr>
          <w:sz w:val="22"/>
          <w:szCs w:val="22"/>
        </w:rPr>
        <w:t>in the provisions of section 101(2)</w:t>
      </w:r>
      <w:r w:rsidR="006E4FBF">
        <w:rPr>
          <w:sz w:val="22"/>
          <w:szCs w:val="22"/>
        </w:rPr>
        <w:t xml:space="preserve"> </w:t>
      </w:r>
      <w:r w:rsidR="00DC60E1">
        <w:rPr>
          <w:sz w:val="22"/>
          <w:szCs w:val="22"/>
        </w:rPr>
        <w:t xml:space="preserve">of the Act </w:t>
      </w:r>
      <w:r w:rsidR="006E4FBF">
        <w:rPr>
          <w:sz w:val="22"/>
          <w:szCs w:val="22"/>
        </w:rPr>
        <w:t>which is</w:t>
      </w:r>
      <w:r>
        <w:rPr>
          <w:sz w:val="22"/>
          <w:szCs w:val="22"/>
        </w:rPr>
        <w:t xml:space="preserve"> set out in </w:t>
      </w:r>
      <w:r w:rsidRPr="0058388A">
        <w:rPr>
          <w:b/>
          <w:bCs/>
          <w:sz w:val="22"/>
          <w:szCs w:val="22"/>
        </w:rPr>
        <w:t>Attachment 1</w:t>
      </w:r>
      <w:r>
        <w:rPr>
          <w:sz w:val="22"/>
          <w:szCs w:val="22"/>
        </w:rPr>
        <w:t>.</w:t>
      </w:r>
    </w:p>
    <w:p w14:paraId="469203E9" w14:textId="502B625A" w:rsidR="00EE3FAC" w:rsidRDefault="00A77D51" w:rsidP="000411B7">
      <w:pPr>
        <w:pStyle w:val="BP2"/>
        <w:numPr>
          <w:ilvl w:val="0"/>
          <w:numId w:val="3"/>
        </w:numPr>
        <w:tabs>
          <w:tab w:val="clear" w:pos="432"/>
          <w:tab w:val="left" w:pos="709"/>
        </w:tabs>
        <w:ind w:left="567" w:hanging="567"/>
        <w:rPr>
          <w:sz w:val="22"/>
          <w:szCs w:val="22"/>
        </w:rPr>
      </w:pPr>
      <w:r>
        <w:rPr>
          <w:sz w:val="22"/>
          <w:szCs w:val="22"/>
        </w:rPr>
        <w:t xml:space="preserve">The Committee considers that </w:t>
      </w:r>
      <w:r w:rsidR="00EE3FAC">
        <w:rPr>
          <w:sz w:val="22"/>
          <w:szCs w:val="22"/>
        </w:rPr>
        <w:t>t</w:t>
      </w:r>
      <w:r w:rsidR="00126223">
        <w:rPr>
          <w:sz w:val="22"/>
          <w:szCs w:val="22"/>
        </w:rPr>
        <w:t>wo</w:t>
      </w:r>
      <w:r w:rsidR="00A94B61">
        <w:rPr>
          <w:sz w:val="22"/>
          <w:szCs w:val="22"/>
        </w:rPr>
        <w:t xml:space="preserve"> key issues</w:t>
      </w:r>
      <w:r>
        <w:rPr>
          <w:sz w:val="22"/>
          <w:szCs w:val="22"/>
        </w:rPr>
        <w:t xml:space="preserve"> are required to be addressed</w:t>
      </w:r>
      <w:r w:rsidR="00A94B61">
        <w:rPr>
          <w:sz w:val="22"/>
          <w:szCs w:val="22"/>
        </w:rPr>
        <w:t>:</w:t>
      </w:r>
    </w:p>
    <w:p w14:paraId="7AF9FC33" w14:textId="5E805DB5" w:rsidR="00C70588" w:rsidRDefault="00005F3B" w:rsidP="009865B0">
      <w:pPr>
        <w:pStyle w:val="BP2"/>
        <w:numPr>
          <w:ilvl w:val="0"/>
          <w:numId w:val="12"/>
        </w:numPr>
        <w:ind w:left="993" w:hanging="426"/>
        <w:rPr>
          <w:sz w:val="22"/>
          <w:szCs w:val="22"/>
        </w:rPr>
      </w:pPr>
      <w:r>
        <w:rPr>
          <w:sz w:val="22"/>
          <w:szCs w:val="22"/>
        </w:rPr>
        <w:t xml:space="preserve">the extent to which the proposed works </w:t>
      </w:r>
      <w:r w:rsidR="00A77D51">
        <w:rPr>
          <w:sz w:val="22"/>
          <w:szCs w:val="22"/>
        </w:rPr>
        <w:t xml:space="preserve">which </w:t>
      </w:r>
      <w:r w:rsidR="006B4E58">
        <w:rPr>
          <w:sz w:val="22"/>
          <w:szCs w:val="22"/>
        </w:rPr>
        <w:t xml:space="preserve">Condition 2 </w:t>
      </w:r>
      <w:r w:rsidR="00A77D51">
        <w:rPr>
          <w:sz w:val="22"/>
          <w:szCs w:val="22"/>
        </w:rPr>
        <w:t xml:space="preserve">seeks to preclude </w:t>
      </w:r>
      <w:r w:rsidR="006B4E58">
        <w:rPr>
          <w:sz w:val="22"/>
          <w:szCs w:val="22"/>
        </w:rPr>
        <w:t xml:space="preserve">would affect the </w:t>
      </w:r>
      <w:r w:rsidR="00880933">
        <w:rPr>
          <w:sz w:val="22"/>
          <w:szCs w:val="22"/>
        </w:rPr>
        <w:t>cultural heritage significance of the Place</w:t>
      </w:r>
      <w:r w:rsidR="00C70588">
        <w:rPr>
          <w:sz w:val="22"/>
          <w:szCs w:val="22"/>
        </w:rPr>
        <w:t>;</w:t>
      </w:r>
      <w:r w:rsidR="00126223">
        <w:rPr>
          <w:sz w:val="22"/>
          <w:szCs w:val="22"/>
        </w:rPr>
        <w:t xml:space="preserve"> and</w:t>
      </w:r>
    </w:p>
    <w:p w14:paraId="73F7871E" w14:textId="0387D079" w:rsidR="0013576A" w:rsidRDefault="00A77D51" w:rsidP="000723A8">
      <w:pPr>
        <w:pStyle w:val="BP2"/>
        <w:numPr>
          <w:ilvl w:val="0"/>
          <w:numId w:val="12"/>
        </w:numPr>
        <w:ind w:left="993" w:hanging="426"/>
        <w:rPr>
          <w:sz w:val="22"/>
          <w:szCs w:val="22"/>
        </w:rPr>
      </w:pPr>
      <w:bookmarkStart w:id="8" w:name="_Hlk16771949"/>
      <w:r>
        <w:rPr>
          <w:sz w:val="22"/>
          <w:szCs w:val="22"/>
        </w:rPr>
        <w:t xml:space="preserve">if the works </w:t>
      </w:r>
      <w:r w:rsidR="005A5A5B">
        <w:rPr>
          <w:sz w:val="22"/>
          <w:szCs w:val="22"/>
        </w:rPr>
        <w:t xml:space="preserve">that are </w:t>
      </w:r>
      <w:r>
        <w:rPr>
          <w:sz w:val="22"/>
          <w:szCs w:val="22"/>
        </w:rPr>
        <w:t>the subject of Condition 2 were not allowed</w:t>
      </w:r>
      <w:r w:rsidR="00672037">
        <w:rPr>
          <w:sz w:val="22"/>
          <w:szCs w:val="22"/>
        </w:rPr>
        <w:t xml:space="preserve"> (by the condition being upheld)</w:t>
      </w:r>
      <w:r>
        <w:rPr>
          <w:sz w:val="22"/>
          <w:szCs w:val="22"/>
        </w:rPr>
        <w:t xml:space="preserve">, </w:t>
      </w:r>
      <w:r w:rsidR="00880933">
        <w:rPr>
          <w:sz w:val="22"/>
          <w:szCs w:val="22"/>
        </w:rPr>
        <w:t xml:space="preserve">the extent to which </w:t>
      </w:r>
      <w:r>
        <w:rPr>
          <w:sz w:val="22"/>
          <w:szCs w:val="22"/>
        </w:rPr>
        <w:t>this</w:t>
      </w:r>
      <w:r w:rsidR="00413F12">
        <w:rPr>
          <w:sz w:val="22"/>
          <w:szCs w:val="22"/>
        </w:rPr>
        <w:t xml:space="preserve"> </w:t>
      </w:r>
      <w:r w:rsidR="00F13BDD">
        <w:rPr>
          <w:sz w:val="22"/>
          <w:szCs w:val="22"/>
        </w:rPr>
        <w:t xml:space="preserve">would </w:t>
      </w:r>
      <w:r w:rsidR="00413F12">
        <w:rPr>
          <w:sz w:val="22"/>
          <w:szCs w:val="22"/>
        </w:rPr>
        <w:t>affect</w:t>
      </w:r>
      <w:r w:rsidR="00B46D25">
        <w:rPr>
          <w:sz w:val="22"/>
          <w:szCs w:val="22"/>
        </w:rPr>
        <w:t xml:space="preserve"> the reasonable and economic use of the Plac</w:t>
      </w:r>
      <w:bookmarkEnd w:id="8"/>
      <w:r w:rsidR="00B46D25">
        <w:rPr>
          <w:sz w:val="22"/>
          <w:szCs w:val="22"/>
        </w:rPr>
        <w:t>e</w:t>
      </w:r>
      <w:r w:rsidR="00126223">
        <w:rPr>
          <w:sz w:val="22"/>
          <w:szCs w:val="22"/>
        </w:rPr>
        <w:t>.</w:t>
      </w:r>
    </w:p>
    <w:p w14:paraId="785BE9D9" w14:textId="7C60DDFD" w:rsidR="005A5A5B" w:rsidRPr="00B46D25" w:rsidRDefault="005A5A5B" w:rsidP="0058388A">
      <w:pPr>
        <w:pStyle w:val="BP2"/>
        <w:ind w:left="567"/>
        <w:rPr>
          <w:sz w:val="22"/>
          <w:szCs w:val="22"/>
        </w:rPr>
      </w:pPr>
      <w:r>
        <w:rPr>
          <w:sz w:val="22"/>
          <w:szCs w:val="22"/>
        </w:rPr>
        <w:t xml:space="preserve">In dealing with this matter, the Committee has confined its consideration to the installation of the doorway in the central blind window of the group of three in the northern wall of the Cathedral Room. The Permit Applicant’s request for review accepts the retention of the two other blind windows in the group. </w:t>
      </w:r>
    </w:p>
    <w:p w14:paraId="76410E22" w14:textId="77777777" w:rsidR="00247918" w:rsidRDefault="00247918" w:rsidP="000723A8">
      <w:pPr>
        <w:pStyle w:val="H4"/>
        <w:spacing w:after="120"/>
        <w:rPr>
          <w:sz w:val="22"/>
        </w:rPr>
      </w:pPr>
    </w:p>
    <w:p w14:paraId="46E69185" w14:textId="301D7C94" w:rsidR="00C70588" w:rsidRDefault="000723A8" w:rsidP="000723A8">
      <w:pPr>
        <w:pStyle w:val="H4"/>
        <w:spacing w:after="120"/>
        <w:rPr>
          <w:sz w:val="22"/>
        </w:rPr>
      </w:pPr>
      <w:r>
        <w:rPr>
          <w:sz w:val="22"/>
        </w:rPr>
        <w:lastRenderedPageBreak/>
        <w:t xml:space="preserve">THE </w:t>
      </w:r>
      <w:r w:rsidR="00A32495">
        <w:rPr>
          <w:sz w:val="22"/>
        </w:rPr>
        <w:t xml:space="preserve">extent to which the proposed works would affect the </w:t>
      </w:r>
      <w:r>
        <w:rPr>
          <w:sz w:val="22"/>
        </w:rPr>
        <w:t>CULTURAL heritage significance of the place</w:t>
      </w:r>
    </w:p>
    <w:p w14:paraId="5AF40AD7" w14:textId="36BB6D3F" w:rsidR="000723A8" w:rsidRPr="00844234" w:rsidRDefault="000723A8" w:rsidP="000723A8">
      <w:pPr>
        <w:pStyle w:val="BP2"/>
        <w:spacing w:before="240" w:after="240"/>
        <w:jc w:val="both"/>
        <w:rPr>
          <w:bCs/>
          <w:i/>
          <w:spacing w:val="-1"/>
          <w:sz w:val="22"/>
          <w:szCs w:val="22"/>
        </w:rPr>
      </w:pPr>
      <w:r w:rsidRPr="00844234">
        <w:rPr>
          <w:bCs/>
          <w:i/>
          <w:spacing w:val="-1"/>
          <w:sz w:val="22"/>
          <w:szCs w:val="22"/>
        </w:rPr>
        <w:t>Summary of submissions and evidence</w:t>
      </w:r>
    </w:p>
    <w:p w14:paraId="74E82F44" w14:textId="42F08523" w:rsidR="00841A77" w:rsidRDefault="3AB8B1F8" w:rsidP="00657B1A">
      <w:pPr>
        <w:pStyle w:val="BP2"/>
        <w:numPr>
          <w:ilvl w:val="0"/>
          <w:numId w:val="3"/>
        </w:numPr>
        <w:tabs>
          <w:tab w:val="clear" w:pos="432"/>
          <w:tab w:val="left" w:pos="851"/>
        </w:tabs>
        <w:ind w:left="567" w:hanging="567"/>
        <w:rPr>
          <w:sz w:val="22"/>
          <w:szCs w:val="22"/>
        </w:rPr>
      </w:pPr>
      <w:r w:rsidRPr="000723A8">
        <w:rPr>
          <w:sz w:val="22"/>
          <w:szCs w:val="22"/>
        </w:rPr>
        <w:t>The Executive Dir</w:t>
      </w:r>
      <w:r w:rsidR="000723A8">
        <w:rPr>
          <w:sz w:val="22"/>
          <w:szCs w:val="22"/>
        </w:rPr>
        <w:t xml:space="preserve">ector submitted that </w:t>
      </w:r>
      <w:r w:rsidR="00BB5561">
        <w:rPr>
          <w:sz w:val="22"/>
          <w:szCs w:val="22"/>
        </w:rPr>
        <w:t xml:space="preserve">Condition 2 is </w:t>
      </w:r>
      <w:r w:rsidR="009F338B">
        <w:rPr>
          <w:sz w:val="22"/>
          <w:szCs w:val="22"/>
        </w:rPr>
        <w:t>appropriate and should be upheld</w:t>
      </w:r>
      <w:r w:rsidR="003A56D5">
        <w:rPr>
          <w:sz w:val="22"/>
          <w:szCs w:val="22"/>
        </w:rPr>
        <w:t xml:space="preserve"> because </w:t>
      </w:r>
      <w:r w:rsidR="00FE09DD">
        <w:rPr>
          <w:sz w:val="22"/>
          <w:szCs w:val="22"/>
        </w:rPr>
        <w:t xml:space="preserve">the </w:t>
      </w:r>
      <w:r w:rsidR="00A237E5">
        <w:rPr>
          <w:sz w:val="22"/>
          <w:szCs w:val="22"/>
        </w:rPr>
        <w:t xml:space="preserve">creation of an opening in the northern wall of the Cathedral Room </w:t>
      </w:r>
      <w:r w:rsidR="00C81F08">
        <w:rPr>
          <w:sz w:val="22"/>
          <w:szCs w:val="22"/>
        </w:rPr>
        <w:t xml:space="preserve">would </w:t>
      </w:r>
      <w:r w:rsidR="00A0216D">
        <w:rPr>
          <w:sz w:val="22"/>
          <w:szCs w:val="22"/>
        </w:rPr>
        <w:t xml:space="preserve">adversely alter the presentation of the </w:t>
      </w:r>
      <w:r w:rsidR="00F812EB">
        <w:rPr>
          <w:sz w:val="22"/>
          <w:szCs w:val="22"/>
        </w:rPr>
        <w:t xml:space="preserve">Cathedral Room as an </w:t>
      </w:r>
      <w:r w:rsidR="006B764D">
        <w:rPr>
          <w:sz w:val="22"/>
          <w:szCs w:val="22"/>
        </w:rPr>
        <w:t xml:space="preserve">‘historic, enclosed and reverent space’, </w:t>
      </w:r>
      <w:r w:rsidR="00A262D5">
        <w:rPr>
          <w:sz w:val="22"/>
          <w:szCs w:val="22"/>
        </w:rPr>
        <w:t xml:space="preserve">would require the removal of </w:t>
      </w:r>
      <w:r w:rsidR="00B12F75">
        <w:rPr>
          <w:sz w:val="22"/>
          <w:szCs w:val="22"/>
        </w:rPr>
        <w:t xml:space="preserve">original </w:t>
      </w:r>
      <w:r w:rsidR="00A237E5">
        <w:rPr>
          <w:sz w:val="22"/>
          <w:szCs w:val="22"/>
        </w:rPr>
        <w:t xml:space="preserve">as well as </w:t>
      </w:r>
      <w:r w:rsidR="00B12F75">
        <w:rPr>
          <w:sz w:val="22"/>
          <w:szCs w:val="22"/>
        </w:rPr>
        <w:t>reconstructed heritage fabric</w:t>
      </w:r>
      <w:r w:rsidR="00A237E5">
        <w:rPr>
          <w:sz w:val="22"/>
          <w:szCs w:val="22"/>
        </w:rPr>
        <w:t xml:space="preserve"> to an unacceptable extent,</w:t>
      </w:r>
      <w:r w:rsidR="00B12F75">
        <w:rPr>
          <w:sz w:val="22"/>
          <w:szCs w:val="22"/>
        </w:rPr>
        <w:t xml:space="preserve"> and would negatively impact on the way the Cathedral Room is experienced</w:t>
      </w:r>
      <w:r w:rsidR="00D7055B">
        <w:rPr>
          <w:sz w:val="22"/>
          <w:szCs w:val="22"/>
        </w:rPr>
        <w:t xml:space="preserve">, </w:t>
      </w:r>
      <w:r w:rsidR="00AB10A8">
        <w:rPr>
          <w:sz w:val="22"/>
          <w:szCs w:val="22"/>
        </w:rPr>
        <w:t xml:space="preserve">cumulatively </w:t>
      </w:r>
      <w:r w:rsidR="00D7055B">
        <w:rPr>
          <w:sz w:val="22"/>
          <w:szCs w:val="22"/>
        </w:rPr>
        <w:t xml:space="preserve">resulting in an </w:t>
      </w:r>
      <w:r w:rsidR="00C601AB">
        <w:rPr>
          <w:sz w:val="22"/>
          <w:szCs w:val="22"/>
        </w:rPr>
        <w:t xml:space="preserve">unreasonable and detrimental impact </w:t>
      </w:r>
      <w:r w:rsidR="003C2961">
        <w:rPr>
          <w:sz w:val="22"/>
          <w:szCs w:val="22"/>
        </w:rPr>
        <w:t>on</w:t>
      </w:r>
      <w:r w:rsidR="00C601AB">
        <w:rPr>
          <w:sz w:val="22"/>
          <w:szCs w:val="22"/>
        </w:rPr>
        <w:t xml:space="preserve"> the Place as a whole</w:t>
      </w:r>
      <w:r w:rsidR="00F545C6">
        <w:rPr>
          <w:sz w:val="22"/>
          <w:szCs w:val="22"/>
        </w:rPr>
        <w:t xml:space="preserve">. </w:t>
      </w:r>
      <w:r w:rsidR="00796B59">
        <w:rPr>
          <w:sz w:val="22"/>
          <w:szCs w:val="22"/>
        </w:rPr>
        <w:t xml:space="preserve"> </w:t>
      </w:r>
    </w:p>
    <w:p w14:paraId="10374B49" w14:textId="0DD07014" w:rsidR="00003185" w:rsidRPr="00657B1A" w:rsidRDefault="006A1863" w:rsidP="00657B1A">
      <w:pPr>
        <w:pStyle w:val="BP2"/>
        <w:numPr>
          <w:ilvl w:val="0"/>
          <w:numId w:val="3"/>
        </w:numPr>
        <w:tabs>
          <w:tab w:val="clear" w:pos="432"/>
          <w:tab w:val="left" w:pos="851"/>
        </w:tabs>
        <w:ind w:left="567" w:hanging="567"/>
        <w:rPr>
          <w:sz w:val="22"/>
          <w:szCs w:val="22"/>
        </w:rPr>
      </w:pPr>
      <w:r w:rsidRPr="00657B1A">
        <w:rPr>
          <w:sz w:val="22"/>
          <w:szCs w:val="22"/>
        </w:rPr>
        <w:t xml:space="preserve">The Executive Director acknowledged that </w:t>
      </w:r>
      <w:r w:rsidR="007F1EB5" w:rsidRPr="00657B1A">
        <w:rPr>
          <w:sz w:val="22"/>
          <w:szCs w:val="22"/>
        </w:rPr>
        <w:t xml:space="preserve">the </w:t>
      </w:r>
      <w:r w:rsidR="00657B1A">
        <w:rPr>
          <w:sz w:val="22"/>
          <w:szCs w:val="22"/>
        </w:rPr>
        <w:t>Cathedral Room</w:t>
      </w:r>
      <w:r w:rsidR="007F1EB5" w:rsidRPr="00657B1A">
        <w:rPr>
          <w:sz w:val="22"/>
          <w:szCs w:val="22"/>
        </w:rPr>
        <w:t xml:space="preserve"> has been altered internally</w:t>
      </w:r>
      <w:r w:rsidR="00657B1A">
        <w:rPr>
          <w:sz w:val="22"/>
          <w:szCs w:val="22"/>
        </w:rPr>
        <w:t xml:space="preserve"> and that some </w:t>
      </w:r>
      <w:r w:rsidR="00045302">
        <w:rPr>
          <w:sz w:val="22"/>
          <w:szCs w:val="22"/>
        </w:rPr>
        <w:t>of the internal fabric is not original.</w:t>
      </w:r>
      <w:r w:rsidR="007F1EB5" w:rsidRPr="00657B1A">
        <w:rPr>
          <w:sz w:val="22"/>
          <w:szCs w:val="22"/>
        </w:rPr>
        <w:t xml:space="preserve"> However, the Executive Director contended </w:t>
      </w:r>
      <w:r w:rsidR="00796B59">
        <w:rPr>
          <w:sz w:val="22"/>
          <w:szCs w:val="22"/>
        </w:rPr>
        <w:t xml:space="preserve">that the proposed works </w:t>
      </w:r>
      <w:r w:rsidR="008A2B87">
        <w:rPr>
          <w:sz w:val="22"/>
          <w:szCs w:val="22"/>
        </w:rPr>
        <w:t xml:space="preserve">would modify the </w:t>
      </w:r>
      <w:r w:rsidR="00382671">
        <w:rPr>
          <w:sz w:val="22"/>
          <w:szCs w:val="22"/>
        </w:rPr>
        <w:t xml:space="preserve">aesthetic </w:t>
      </w:r>
      <w:r w:rsidR="00776DDE">
        <w:rPr>
          <w:sz w:val="22"/>
          <w:szCs w:val="22"/>
        </w:rPr>
        <w:t>value</w:t>
      </w:r>
      <w:r w:rsidR="00382671">
        <w:rPr>
          <w:sz w:val="22"/>
          <w:szCs w:val="22"/>
        </w:rPr>
        <w:t xml:space="preserve"> of the Cathedral Room </w:t>
      </w:r>
      <w:r w:rsidR="003B7ED6">
        <w:rPr>
          <w:sz w:val="22"/>
          <w:szCs w:val="22"/>
        </w:rPr>
        <w:t xml:space="preserve">and result in the loss of </w:t>
      </w:r>
      <w:r w:rsidR="00CA7813">
        <w:rPr>
          <w:sz w:val="22"/>
          <w:szCs w:val="22"/>
        </w:rPr>
        <w:t xml:space="preserve">its </w:t>
      </w:r>
      <w:r w:rsidR="002E338B">
        <w:rPr>
          <w:sz w:val="22"/>
          <w:szCs w:val="22"/>
        </w:rPr>
        <w:t xml:space="preserve">‘contained and enclosed volume’ </w:t>
      </w:r>
      <w:r w:rsidR="004F1C64">
        <w:rPr>
          <w:sz w:val="22"/>
          <w:szCs w:val="22"/>
        </w:rPr>
        <w:t xml:space="preserve">which would </w:t>
      </w:r>
      <w:r w:rsidR="00780570">
        <w:rPr>
          <w:sz w:val="22"/>
          <w:szCs w:val="22"/>
        </w:rPr>
        <w:t>have an unreasonabl</w:t>
      </w:r>
      <w:r w:rsidR="00CC65E7">
        <w:rPr>
          <w:sz w:val="22"/>
          <w:szCs w:val="22"/>
        </w:rPr>
        <w:t xml:space="preserve">e and </w:t>
      </w:r>
      <w:r w:rsidR="00780570">
        <w:rPr>
          <w:sz w:val="22"/>
          <w:szCs w:val="22"/>
        </w:rPr>
        <w:t xml:space="preserve">detrimental impact on </w:t>
      </w:r>
      <w:r w:rsidR="00CC65E7">
        <w:rPr>
          <w:sz w:val="22"/>
          <w:szCs w:val="22"/>
        </w:rPr>
        <w:t>the</w:t>
      </w:r>
      <w:r w:rsidR="00D63311">
        <w:rPr>
          <w:sz w:val="22"/>
          <w:szCs w:val="22"/>
        </w:rPr>
        <w:t xml:space="preserve"> cultural heritage significance</w:t>
      </w:r>
      <w:r w:rsidR="00CC65E7">
        <w:rPr>
          <w:sz w:val="22"/>
          <w:szCs w:val="22"/>
        </w:rPr>
        <w:t xml:space="preserve"> of the Place, </w:t>
      </w:r>
      <w:r w:rsidR="007A2731">
        <w:rPr>
          <w:sz w:val="22"/>
          <w:szCs w:val="22"/>
        </w:rPr>
        <w:t xml:space="preserve">given that the </w:t>
      </w:r>
      <w:r w:rsidR="00863767">
        <w:rPr>
          <w:sz w:val="22"/>
          <w:szCs w:val="22"/>
        </w:rPr>
        <w:t xml:space="preserve">Cathedral </w:t>
      </w:r>
      <w:r w:rsidR="00CC65C3">
        <w:rPr>
          <w:sz w:val="22"/>
          <w:szCs w:val="22"/>
        </w:rPr>
        <w:t>R</w:t>
      </w:r>
      <w:r w:rsidR="00863767">
        <w:rPr>
          <w:sz w:val="22"/>
          <w:szCs w:val="22"/>
        </w:rPr>
        <w:t xml:space="preserve">oom is </w:t>
      </w:r>
      <w:r w:rsidR="00CF4786">
        <w:rPr>
          <w:sz w:val="22"/>
          <w:szCs w:val="22"/>
        </w:rPr>
        <w:t>identified as a key interior</w:t>
      </w:r>
      <w:r w:rsidR="00715426">
        <w:rPr>
          <w:sz w:val="22"/>
          <w:szCs w:val="22"/>
        </w:rPr>
        <w:t xml:space="preserve"> element</w:t>
      </w:r>
      <w:r w:rsidR="006E4FBF">
        <w:rPr>
          <w:sz w:val="22"/>
          <w:szCs w:val="22"/>
        </w:rPr>
        <w:t xml:space="preserve"> of the Place</w:t>
      </w:r>
      <w:r w:rsidR="00C11CDF" w:rsidRPr="00657B1A">
        <w:rPr>
          <w:sz w:val="22"/>
          <w:szCs w:val="22"/>
        </w:rPr>
        <w:t>.</w:t>
      </w:r>
      <w:r w:rsidR="002E1E9B">
        <w:rPr>
          <w:sz w:val="22"/>
          <w:szCs w:val="22"/>
        </w:rPr>
        <w:t xml:space="preserve"> The Executive Director </w:t>
      </w:r>
      <w:r w:rsidR="006E4FBF">
        <w:rPr>
          <w:sz w:val="22"/>
          <w:szCs w:val="22"/>
        </w:rPr>
        <w:t xml:space="preserve">argued </w:t>
      </w:r>
      <w:r w:rsidR="00801416">
        <w:rPr>
          <w:sz w:val="22"/>
          <w:szCs w:val="22"/>
        </w:rPr>
        <w:t>that the</w:t>
      </w:r>
      <w:r w:rsidR="00AA4E4C">
        <w:rPr>
          <w:sz w:val="22"/>
          <w:szCs w:val="22"/>
        </w:rPr>
        <w:t xml:space="preserve"> ‘reverent’ or ‘ecclesiastical’ atmosphere </w:t>
      </w:r>
      <w:r w:rsidR="00801416">
        <w:rPr>
          <w:sz w:val="22"/>
          <w:szCs w:val="22"/>
        </w:rPr>
        <w:t xml:space="preserve">of the </w:t>
      </w:r>
      <w:r w:rsidR="000A2ADD">
        <w:rPr>
          <w:sz w:val="22"/>
          <w:szCs w:val="22"/>
        </w:rPr>
        <w:t xml:space="preserve">Cathedral Room </w:t>
      </w:r>
      <w:r w:rsidR="006E4FBF">
        <w:rPr>
          <w:sz w:val="22"/>
          <w:szCs w:val="22"/>
        </w:rPr>
        <w:t xml:space="preserve">which was said to be an important characteristic of the Place </w:t>
      </w:r>
      <w:r w:rsidR="000A2ADD">
        <w:rPr>
          <w:sz w:val="22"/>
          <w:szCs w:val="22"/>
        </w:rPr>
        <w:t xml:space="preserve">would be detrimentally </w:t>
      </w:r>
      <w:r w:rsidR="00766156">
        <w:rPr>
          <w:sz w:val="22"/>
          <w:szCs w:val="22"/>
        </w:rPr>
        <w:t>affected</w:t>
      </w:r>
      <w:r w:rsidR="000A2ADD">
        <w:rPr>
          <w:sz w:val="22"/>
          <w:szCs w:val="22"/>
        </w:rPr>
        <w:t xml:space="preserve"> by the proposed works</w:t>
      </w:r>
      <w:r w:rsidR="00766156">
        <w:rPr>
          <w:sz w:val="22"/>
          <w:szCs w:val="22"/>
        </w:rPr>
        <w:t xml:space="preserve"> to an unacceptable degree</w:t>
      </w:r>
      <w:r w:rsidR="000A2ADD">
        <w:rPr>
          <w:sz w:val="22"/>
          <w:szCs w:val="22"/>
        </w:rPr>
        <w:t>.</w:t>
      </w:r>
    </w:p>
    <w:p w14:paraId="0FFFE288" w14:textId="2BE00272" w:rsidR="00B74C8A" w:rsidRDefault="00C11CDF" w:rsidP="005B7FB4">
      <w:pPr>
        <w:pStyle w:val="BP2"/>
        <w:numPr>
          <w:ilvl w:val="0"/>
          <w:numId w:val="3"/>
        </w:numPr>
        <w:tabs>
          <w:tab w:val="clear" w:pos="432"/>
          <w:tab w:val="left" w:pos="851"/>
        </w:tabs>
        <w:ind w:left="567" w:hanging="567"/>
        <w:rPr>
          <w:sz w:val="22"/>
          <w:szCs w:val="22"/>
        </w:rPr>
      </w:pPr>
      <w:r>
        <w:rPr>
          <w:sz w:val="22"/>
          <w:szCs w:val="22"/>
        </w:rPr>
        <w:t>The Permit Applicant submitted</w:t>
      </w:r>
      <w:r w:rsidR="00182FF5">
        <w:rPr>
          <w:sz w:val="22"/>
          <w:szCs w:val="22"/>
        </w:rPr>
        <w:t>, relying on the evidence of Mr Lovell,</w:t>
      </w:r>
      <w:r>
        <w:rPr>
          <w:sz w:val="22"/>
          <w:szCs w:val="22"/>
        </w:rPr>
        <w:t xml:space="preserve"> that</w:t>
      </w:r>
      <w:r w:rsidR="00E4378E">
        <w:rPr>
          <w:sz w:val="22"/>
          <w:szCs w:val="22"/>
        </w:rPr>
        <w:t xml:space="preserve"> the proposed works would have</w:t>
      </w:r>
      <w:r w:rsidR="0004187B">
        <w:rPr>
          <w:sz w:val="22"/>
          <w:szCs w:val="22"/>
        </w:rPr>
        <w:t xml:space="preserve"> only</w:t>
      </w:r>
      <w:r w:rsidR="00E4378E">
        <w:rPr>
          <w:sz w:val="22"/>
          <w:szCs w:val="22"/>
        </w:rPr>
        <w:t xml:space="preserve"> a modest impact on the </w:t>
      </w:r>
      <w:r w:rsidR="007C72F1">
        <w:rPr>
          <w:sz w:val="22"/>
          <w:szCs w:val="22"/>
        </w:rPr>
        <w:t>cultural heritage significance of the Place</w:t>
      </w:r>
      <w:r w:rsidR="00225C32">
        <w:rPr>
          <w:sz w:val="22"/>
          <w:szCs w:val="22"/>
        </w:rPr>
        <w:t xml:space="preserve">, that </w:t>
      </w:r>
      <w:r w:rsidR="00C52417">
        <w:rPr>
          <w:sz w:val="22"/>
          <w:szCs w:val="22"/>
        </w:rPr>
        <w:t xml:space="preserve">the most ornate elements of the Cathedral Room </w:t>
      </w:r>
      <w:r w:rsidR="008E0A09">
        <w:rPr>
          <w:sz w:val="22"/>
          <w:szCs w:val="22"/>
        </w:rPr>
        <w:t xml:space="preserve">would be ‘wholly unaffected’ by the proposed works and that </w:t>
      </w:r>
      <w:r w:rsidR="001E4F2C">
        <w:rPr>
          <w:sz w:val="22"/>
          <w:szCs w:val="22"/>
        </w:rPr>
        <w:t xml:space="preserve">neither the evidence available nor </w:t>
      </w:r>
      <w:r w:rsidR="002C6625">
        <w:rPr>
          <w:sz w:val="22"/>
          <w:szCs w:val="22"/>
        </w:rPr>
        <w:t xml:space="preserve">the Statement of Cultural Heritage Significance </w:t>
      </w:r>
      <w:r w:rsidR="006E4F51">
        <w:rPr>
          <w:sz w:val="22"/>
          <w:szCs w:val="22"/>
        </w:rPr>
        <w:t>support</w:t>
      </w:r>
      <w:r w:rsidR="00DC4B76">
        <w:rPr>
          <w:sz w:val="22"/>
          <w:szCs w:val="22"/>
        </w:rPr>
        <w:t xml:space="preserve">s the </w:t>
      </w:r>
      <w:r w:rsidR="00DE021E">
        <w:rPr>
          <w:sz w:val="22"/>
          <w:szCs w:val="22"/>
        </w:rPr>
        <w:t xml:space="preserve">contention that </w:t>
      </w:r>
      <w:r w:rsidR="004E7A50">
        <w:rPr>
          <w:sz w:val="22"/>
          <w:szCs w:val="22"/>
        </w:rPr>
        <w:t xml:space="preserve">there is a </w:t>
      </w:r>
      <w:r w:rsidR="00A12F9A">
        <w:rPr>
          <w:sz w:val="22"/>
          <w:szCs w:val="22"/>
        </w:rPr>
        <w:t xml:space="preserve">‘reverent’ </w:t>
      </w:r>
      <w:r w:rsidR="005C6AA3">
        <w:rPr>
          <w:sz w:val="22"/>
          <w:szCs w:val="22"/>
        </w:rPr>
        <w:t>or ‘ecclesia</w:t>
      </w:r>
      <w:r w:rsidR="00DB3298">
        <w:rPr>
          <w:sz w:val="22"/>
          <w:szCs w:val="22"/>
        </w:rPr>
        <w:t>stical</w:t>
      </w:r>
      <w:r w:rsidR="00B74C8A">
        <w:rPr>
          <w:sz w:val="22"/>
          <w:szCs w:val="22"/>
        </w:rPr>
        <w:t>’</w:t>
      </w:r>
      <w:r w:rsidR="00DB3298">
        <w:rPr>
          <w:sz w:val="22"/>
          <w:szCs w:val="22"/>
        </w:rPr>
        <w:t xml:space="preserve"> </w:t>
      </w:r>
      <w:r w:rsidR="00A12F9A">
        <w:rPr>
          <w:sz w:val="22"/>
          <w:szCs w:val="22"/>
        </w:rPr>
        <w:t>atmosphere</w:t>
      </w:r>
      <w:r w:rsidR="00DB3298">
        <w:rPr>
          <w:sz w:val="22"/>
          <w:szCs w:val="22"/>
        </w:rPr>
        <w:t xml:space="preserve"> </w:t>
      </w:r>
      <w:r w:rsidR="0004187B">
        <w:rPr>
          <w:sz w:val="22"/>
          <w:szCs w:val="22"/>
        </w:rPr>
        <w:t>of importance to the</w:t>
      </w:r>
      <w:r w:rsidR="00DB3298">
        <w:rPr>
          <w:sz w:val="22"/>
          <w:szCs w:val="22"/>
        </w:rPr>
        <w:t xml:space="preserve"> Cathedral Room</w:t>
      </w:r>
      <w:r w:rsidR="00A12F9A">
        <w:rPr>
          <w:sz w:val="22"/>
          <w:szCs w:val="22"/>
        </w:rPr>
        <w:t xml:space="preserve"> that would be </w:t>
      </w:r>
      <w:r w:rsidR="0024617F">
        <w:rPr>
          <w:sz w:val="22"/>
          <w:szCs w:val="22"/>
        </w:rPr>
        <w:t xml:space="preserve">materially </w:t>
      </w:r>
      <w:r w:rsidR="00563B81">
        <w:rPr>
          <w:sz w:val="22"/>
          <w:szCs w:val="22"/>
        </w:rPr>
        <w:t xml:space="preserve">altered </w:t>
      </w:r>
      <w:r w:rsidR="001D3CE4">
        <w:rPr>
          <w:sz w:val="22"/>
          <w:szCs w:val="22"/>
        </w:rPr>
        <w:t xml:space="preserve">by the proposed works. </w:t>
      </w:r>
    </w:p>
    <w:p w14:paraId="2C61AF60" w14:textId="37854B32" w:rsidR="00915E28" w:rsidRPr="005B7FB4" w:rsidRDefault="00937998" w:rsidP="005B7FB4">
      <w:pPr>
        <w:pStyle w:val="BP2"/>
        <w:numPr>
          <w:ilvl w:val="0"/>
          <w:numId w:val="3"/>
        </w:numPr>
        <w:tabs>
          <w:tab w:val="clear" w:pos="432"/>
          <w:tab w:val="left" w:pos="851"/>
        </w:tabs>
        <w:ind w:left="567" w:hanging="567"/>
        <w:rPr>
          <w:sz w:val="22"/>
          <w:szCs w:val="22"/>
        </w:rPr>
      </w:pPr>
      <w:r>
        <w:rPr>
          <w:sz w:val="22"/>
          <w:szCs w:val="22"/>
        </w:rPr>
        <w:t xml:space="preserve">The Permit Applicant further submitted that </w:t>
      </w:r>
      <w:r w:rsidR="0070210E">
        <w:rPr>
          <w:sz w:val="22"/>
          <w:szCs w:val="22"/>
        </w:rPr>
        <w:t xml:space="preserve">the impacts of the proposed works must be </w:t>
      </w:r>
      <w:r w:rsidR="00C11CDF">
        <w:rPr>
          <w:sz w:val="22"/>
          <w:szCs w:val="22"/>
        </w:rPr>
        <w:t xml:space="preserve">assessed based </w:t>
      </w:r>
      <w:r w:rsidR="00024EEF">
        <w:rPr>
          <w:sz w:val="22"/>
          <w:szCs w:val="22"/>
        </w:rPr>
        <w:t xml:space="preserve">on a consideration of the cultural heritage significance </w:t>
      </w:r>
      <w:r w:rsidR="00714E2C">
        <w:rPr>
          <w:sz w:val="22"/>
          <w:szCs w:val="22"/>
        </w:rPr>
        <w:t>of</w:t>
      </w:r>
      <w:r w:rsidR="0070210E">
        <w:rPr>
          <w:sz w:val="22"/>
          <w:szCs w:val="22"/>
        </w:rPr>
        <w:t xml:space="preserve"> the whole</w:t>
      </w:r>
      <w:r w:rsidR="00714E2C">
        <w:rPr>
          <w:sz w:val="22"/>
          <w:szCs w:val="22"/>
        </w:rPr>
        <w:t xml:space="preserve"> of the</w:t>
      </w:r>
      <w:r w:rsidR="0070210E">
        <w:rPr>
          <w:sz w:val="22"/>
          <w:szCs w:val="22"/>
        </w:rPr>
        <w:t xml:space="preserve"> Place</w:t>
      </w:r>
      <w:r w:rsidR="00714E2C">
        <w:rPr>
          <w:sz w:val="22"/>
          <w:szCs w:val="22"/>
        </w:rPr>
        <w:t xml:space="preserve">, rather than </w:t>
      </w:r>
      <w:r w:rsidR="0095401F">
        <w:rPr>
          <w:sz w:val="22"/>
          <w:szCs w:val="22"/>
        </w:rPr>
        <w:t>a consideration of impacts on the Cathedral Room alone</w:t>
      </w:r>
      <w:r w:rsidR="00C11CDF">
        <w:rPr>
          <w:sz w:val="22"/>
          <w:szCs w:val="22"/>
        </w:rPr>
        <w:t xml:space="preserve">. </w:t>
      </w:r>
      <w:r w:rsidR="001A76E3">
        <w:rPr>
          <w:sz w:val="22"/>
          <w:szCs w:val="22"/>
        </w:rPr>
        <w:t xml:space="preserve">To that extent, and </w:t>
      </w:r>
      <w:r w:rsidR="0004187B">
        <w:rPr>
          <w:sz w:val="22"/>
          <w:szCs w:val="22"/>
        </w:rPr>
        <w:t xml:space="preserve">again </w:t>
      </w:r>
      <w:r w:rsidR="001A76E3">
        <w:rPr>
          <w:sz w:val="22"/>
          <w:szCs w:val="22"/>
        </w:rPr>
        <w:t>r</w:t>
      </w:r>
      <w:r w:rsidR="00C11CDF">
        <w:rPr>
          <w:sz w:val="22"/>
          <w:szCs w:val="22"/>
        </w:rPr>
        <w:t xml:space="preserve">elying on the expert evidence of Mr </w:t>
      </w:r>
      <w:r w:rsidR="00915E28">
        <w:rPr>
          <w:sz w:val="22"/>
          <w:szCs w:val="22"/>
        </w:rPr>
        <w:t>Lovell</w:t>
      </w:r>
      <w:r w:rsidR="00C11CDF">
        <w:rPr>
          <w:sz w:val="22"/>
          <w:szCs w:val="22"/>
        </w:rPr>
        <w:t xml:space="preserve">, the Permit Applicant submitted that the </w:t>
      </w:r>
      <w:r w:rsidR="000C7CF0">
        <w:rPr>
          <w:sz w:val="22"/>
          <w:szCs w:val="22"/>
        </w:rPr>
        <w:t xml:space="preserve">cultural heritage significance of the </w:t>
      </w:r>
      <w:r w:rsidR="0004187B">
        <w:rPr>
          <w:sz w:val="22"/>
          <w:szCs w:val="22"/>
        </w:rPr>
        <w:t xml:space="preserve">wider </w:t>
      </w:r>
      <w:r w:rsidR="000C7CF0">
        <w:rPr>
          <w:sz w:val="22"/>
          <w:szCs w:val="22"/>
        </w:rPr>
        <w:t xml:space="preserve">Place </w:t>
      </w:r>
      <w:r w:rsidR="003C412D">
        <w:rPr>
          <w:sz w:val="22"/>
          <w:szCs w:val="22"/>
        </w:rPr>
        <w:t>w</w:t>
      </w:r>
      <w:r w:rsidR="009A74F7">
        <w:rPr>
          <w:sz w:val="22"/>
          <w:szCs w:val="22"/>
        </w:rPr>
        <w:t>ould</w:t>
      </w:r>
      <w:r w:rsidR="003C412D">
        <w:rPr>
          <w:sz w:val="22"/>
          <w:szCs w:val="22"/>
        </w:rPr>
        <w:t xml:space="preserve"> not be adversely affected </w:t>
      </w:r>
      <w:r w:rsidR="009A74F7">
        <w:rPr>
          <w:sz w:val="22"/>
          <w:szCs w:val="22"/>
        </w:rPr>
        <w:t xml:space="preserve">by the </w:t>
      </w:r>
      <w:r w:rsidR="00915E28">
        <w:rPr>
          <w:sz w:val="22"/>
          <w:szCs w:val="22"/>
        </w:rPr>
        <w:t>proposed</w:t>
      </w:r>
      <w:r w:rsidR="009A74F7">
        <w:rPr>
          <w:sz w:val="22"/>
          <w:szCs w:val="22"/>
        </w:rPr>
        <w:t xml:space="preserve"> work</w:t>
      </w:r>
      <w:r w:rsidR="00DB4925">
        <w:rPr>
          <w:sz w:val="22"/>
          <w:szCs w:val="22"/>
        </w:rPr>
        <w:t>s.</w:t>
      </w:r>
    </w:p>
    <w:p w14:paraId="30035415" w14:textId="6DFE2218" w:rsidR="00B304DF" w:rsidRPr="00844234" w:rsidRDefault="00B304DF" w:rsidP="00F37284">
      <w:pPr>
        <w:pStyle w:val="BP2"/>
        <w:keepNext/>
        <w:spacing w:before="240" w:after="240"/>
        <w:jc w:val="both"/>
        <w:rPr>
          <w:bCs/>
          <w:i/>
          <w:spacing w:val="-1"/>
          <w:sz w:val="22"/>
          <w:szCs w:val="22"/>
        </w:rPr>
      </w:pPr>
      <w:r w:rsidRPr="00844234">
        <w:rPr>
          <w:bCs/>
          <w:i/>
          <w:spacing w:val="-1"/>
          <w:sz w:val="22"/>
          <w:szCs w:val="22"/>
        </w:rPr>
        <w:t>Discussion and conclusion</w:t>
      </w:r>
    </w:p>
    <w:p w14:paraId="3127A4C7" w14:textId="3AEEAA0E" w:rsidR="00B304DF" w:rsidRDefault="00B304DF" w:rsidP="000411B7">
      <w:pPr>
        <w:pStyle w:val="BP2"/>
        <w:numPr>
          <w:ilvl w:val="0"/>
          <w:numId w:val="3"/>
        </w:numPr>
        <w:tabs>
          <w:tab w:val="clear" w:pos="432"/>
          <w:tab w:val="left" w:pos="709"/>
        </w:tabs>
        <w:ind w:left="567" w:hanging="567"/>
        <w:rPr>
          <w:sz w:val="22"/>
          <w:szCs w:val="22"/>
        </w:rPr>
      </w:pPr>
      <w:r>
        <w:rPr>
          <w:sz w:val="22"/>
          <w:szCs w:val="22"/>
        </w:rPr>
        <w:t xml:space="preserve">In the Committee’s view, the </w:t>
      </w:r>
      <w:r w:rsidR="00E07D1C">
        <w:rPr>
          <w:sz w:val="22"/>
          <w:szCs w:val="22"/>
        </w:rPr>
        <w:t xml:space="preserve">heritage </w:t>
      </w:r>
      <w:r>
        <w:rPr>
          <w:sz w:val="22"/>
          <w:szCs w:val="22"/>
        </w:rPr>
        <w:t xml:space="preserve">impact of the </w:t>
      </w:r>
      <w:r w:rsidR="0053309A">
        <w:rPr>
          <w:sz w:val="22"/>
          <w:szCs w:val="22"/>
        </w:rPr>
        <w:t xml:space="preserve">proposed works </w:t>
      </w:r>
      <w:r w:rsidR="00E07D1C">
        <w:rPr>
          <w:sz w:val="22"/>
          <w:szCs w:val="22"/>
        </w:rPr>
        <w:t xml:space="preserve">must be assessed having regard to the current </w:t>
      </w:r>
      <w:r w:rsidR="00926364">
        <w:rPr>
          <w:sz w:val="22"/>
          <w:szCs w:val="22"/>
        </w:rPr>
        <w:t>condition</w:t>
      </w:r>
      <w:r w:rsidR="00E07D1C">
        <w:rPr>
          <w:sz w:val="22"/>
          <w:szCs w:val="22"/>
        </w:rPr>
        <w:t xml:space="preserve"> of the </w:t>
      </w:r>
      <w:r w:rsidR="00537B83">
        <w:rPr>
          <w:sz w:val="22"/>
          <w:szCs w:val="22"/>
        </w:rPr>
        <w:t>Cathedral Room</w:t>
      </w:r>
      <w:r w:rsidR="00E07D1C">
        <w:rPr>
          <w:sz w:val="22"/>
          <w:szCs w:val="22"/>
        </w:rPr>
        <w:t xml:space="preserve">, including alterations </w:t>
      </w:r>
      <w:r w:rsidR="0053309A">
        <w:rPr>
          <w:sz w:val="22"/>
          <w:szCs w:val="22"/>
        </w:rPr>
        <w:t xml:space="preserve">and additions </w:t>
      </w:r>
      <w:r w:rsidR="00E07D1C">
        <w:rPr>
          <w:sz w:val="22"/>
          <w:szCs w:val="22"/>
        </w:rPr>
        <w:t xml:space="preserve">that have </w:t>
      </w:r>
      <w:r w:rsidR="0053309A">
        <w:rPr>
          <w:sz w:val="22"/>
          <w:szCs w:val="22"/>
        </w:rPr>
        <w:t>occurred</w:t>
      </w:r>
      <w:r w:rsidR="00B8751F">
        <w:rPr>
          <w:sz w:val="22"/>
          <w:szCs w:val="22"/>
        </w:rPr>
        <w:t xml:space="preserve"> over time</w:t>
      </w:r>
      <w:r w:rsidR="00257119">
        <w:rPr>
          <w:sz w:val="22"/>
          <w:szCs w:val="22"/>
        </w:rPr>
        <w:t xml:space="preserve">, and having regard to </w:t>
      </w:r>
      <w:r w:rsidR="00132B04">
        <w:rPr>
          <w:sz w:val="22"/>
          <w:szCs w:val="22"/>
        </w:rPr>
        <w:t xml:space="preserve">the </w:t>
      </w:r>
      <w:r w:rsidR="00C73AC5">
        <w:rPr>
          <w:sz w:val="22"/>
          <w:szCs w:val="22"/>
        </w:rPr>
        <w:t>impact of the propos</w:t>
      </w:r>
      <w:r w:rsidR="00FA119A">
        <w:rPr>
          <w:sz w:val="22"/>
          <w:szCs w:val="22"/>
        </w:rPr>
        <w:t xml:space="preserve">ed works </w:t>
      </w:r>
      <w:r w:rsidR="00040CE9">
        <w:rPr>
          <w:sz w:val="22"/>
          <w:szCs w:val="22"/>
        </w:rPr>
        <w:t xml:space="preserve">on the cultural heritage significance of </w:t>
      </w:r>
      <w:r w:rsidR="00FA119A">
        <w:rPr>
          <w:sz w:val="22"/>
          <w:szCs w:val="22"/>
        </w:rPr>
        <w:t>the whole of the Place</w:t>
      </w:r>
      <w:r w:rsidR="0053309A">
        <w:rPr>
          <w:sz w:val="22"/>
          <w:szCs w:val="22"/>
        </w:rPr>
        <w:t>.</w:t>
      </w:r>
    </w:p>
    <w:p w14:paraId="174905BE" w14:textId="10687195" w:rsidR="002C2D44" w:rsidRPr="002C2D44" w:rsidRDefault="00A11D84" w:rsidP="00B2315B">
      <w:pPr>
        <w:pStyle w:val="BP2"/>
        <w:numPr>
          <w:ilvl w:val="0"/>
          <w:numId w:val="3"/>
        </w:numPr>
        <w:tabs>
          <w:tab w:val="clear" w:pos="432"/>
          <w:tab w:val="left" w:pos="709"/>
        </w:tabs>
        <w:ind w:left="567" w:hanging="567"/>
        <w:rPr>
          <w:sz w:val="22"/>
          <w:szCs w:val="22"/>
        </w:rPr>
      </w:pPr>
      <w:r w:rsidRPr="002C2D44">
        <w:rPr>
          <w:sz w:val="22"/>
          <w:szCs w:val="22"/>
        </w:rPr>
        <w:t>T</w:t>
      </w:r>
      <w:r w:rsidR="00671383" w:rsidRPr="002C2D44">
        <w:rPr>
          <w:sz w:val="22"/>
          <w:szCs w:val="22"/>
        </w:rPr>
        <w:t xml:space="preserve">he Committee notes that </w:t>
      </w:r>
      <w:r w:rsidRPr="002C2D44">
        <w:rPr>
          <w:sz w:val="22"/>
          <w:szCs w:val="22"/>
        </w:rPr>
        <w:t xml:space="preserve">some </w:t>
      </w:r>
      <w:r w:rsidR="00671383" w:rsidRPr="002C2D44">
        <w:rPr>
          <w:sz w:val="22"/>
          <w:szCs w:val="22"/>
        </w:rPr>
        <w:t xml:space="preserve">original fabric would be impacted by the proposed </w:t>
      </w:r>
      <w:r w:rsidRPr="002C2D44">
        <w:rPr>
          <w:sz w:val="22"/>
          <w:szCs w:val="22"/>
        </w:rPr>
        <w:t>doorway</w:t>
      </w:r>
      <w:r w:rsidR="00F46AB1" w:rsidRPr="002C2D44">
        <w:rPr>
          <w:sz w:val="22"/>
          <w:szCs w:val="22"/>
        </w:rPr>
        <w:t xml:space="preserve"> </w:t>
      </w:r>
      <w:r w:rsidRPr="002C2D44">
        <w:rPr>
          <w:sz w:val="22"/>
          <w:szCs w:val="22"/>
        </w:rPr>
        <w:t>but</w:t>
      </w:r>
      <w:r w:rsidR="00671383" w:rsidRPr="002C2D44">
        <w:rPr>
          <w:sz w:val="22"/>
          <w:szCs w:val="22"/>
        </w:rPr>
        <w:t xml:space="preserve"> agrees with the evidence of Mr Lovell that </w:t>
      </w:r>
      <w:r w:rsidRPr="002C2D44">
        <w:rPr>
          <w:sz w:val="22"/>
          <w:szCs w:val="22"/>
        </w:rPr>
        <w:t xml:space="preserve">there would be </w:t>
      </w:r>
      <w:r w:rsidR="000C582F" w:rsidRPr="002C2D44">
        <w:rPr>
          <w:sz w:val="22"/>
          <w:szCs w:val="22"/>
        </w:rPr>
        <w:t xml:space="preserve">only </w:t>
      </w:r>
      <w:r w:rsidRPr="002C2D44">
        <w:rPr>
          <w:sz w:val="22"/>
          <w:szCs w:val="22"/>
        </w:rPr>
        <w:t xml:space="preserve">minimal impact </w:t>
      </w:r>
      <w:r w:rsidR="002916C2" w:rsidRPr="002C2D44">
        <w:rPr>
          <w:sz w:val="22"/>
          <w:szCs w:val="22"/>
        </w:rPr>
        <w:t>in this regard</w:t>
      </w:r>
      <w:r w:rsidRPr="002C2D44">
        <w:rPr>
          <w:sz w:val="22"/>
          <w:szCs w:val="22"/>
        </w:rPr>
        <w:t>. The</w:t>
      </w:r>
      <w:r w:rsidR="00671383" w:rsidRPr="002C2D44">
        <w:rPr>
          <w:sz w:val="22"/>
          <w:szCs w:val="22"/>
        </w:rPr>
        <w:t xml:space="preserve"> Cathedral Room has been </w:t>
      </w:r>
      <w:r w:rsidRPr="002C2D44">
        <w:rPr>
          <w:sz w:val="22"/>
          <w:szCs w:val="22"/>
        </w:rPr>
        <w:t xml:space="preserve">quite </w:t>
      </w:r>
      <w:r w:rsidR="00671383" w:rsidRPr="002C2D44">
        <w:rPr>
          <w:sz w:val="22"/>
          <w:szCs w:val="22"/>
        </w:rPr>
        <w:t xml:space="preserve">substantially modified </w:t>
      </w:r>
      <w:r w:rsidRPr="002C2D44">
        <w:rPr>
          <w:sz w:val="22"/>
          <w:szCs w:val="22"/>
        </w:rPr>
        <w:t xml:space="preserve">over the years including by the reintroduced dado and tiled flooring and the infilling of the blind windows in question, </w:t>
      </w:r>
      <w:r w:rsidR="00671383" w:rsidRPr="002C2D44">
        <w:rPr>
          <w:sz w:val="22"/>
          <w:szCs w:val="22"/>
        </w:rPr>
        <w:t xml:space="preserve">such that there is </w:t>
      </w:r>
      <w:r w:rsidR="00F016E8" w:rsidRPr="002C2D44">
        <w:rPr>
          <w:sz w:val="22"/>
          <w:szCs w:val="22"/>
        </w:rPr>
        <w:t>little</w:t>
      </w:r>
      <w:r w:rsidR="00671383" w:rsidRPr="002C2D44">
        <w:rPr>
          <w:sz w:val="22"/>
          <w:szCs w:val="22"/>
        </w:rPr>
        <w:t xml:space="preserve"> extant</w:t>
      </w:r>
      <w:r w:rsidR="00A25795" w:rsidRPr="002C2D44">
        <w:rPr>
          <w:sz w:val="22"/>
          <w:szCs w:val="22"/>
        </w:rPr>
        <w:t xml:space="preserve"> original</w:t>
      </w:r>
      <w:r w:rsidR="00671383" w:rsidRPr="002C2D44">
        <w:rPr>
          <w:sz w:val="22"/>
          <w:szCs w:val="22"/>
        </w:rPr>
        <w:t xml:space="preserve"> fabric</w:t>
      </w:r>
      <w:r w:rsidR="00F016E8" w:rsidRPr="002C2D44">
        <w:rPr>
          <w:sz w:val="22"/>
          <w:szCs w:val="22"/>
        </w:rPr>
        <w:t xml:space="preserve"> that w</w:t>
      </w:r>
      <w:r w:rsidR="000C582F" w:rsidRPr="002C2D44">
        <w:rPr>
          <w:sz w:val="22"/>
          <w:szCs w:val="22"/>
        </w:rPr>
        <w:t>ould</w:t>
      </w:r>
      <w:r w:rsidR="00F016E8" w:rsidRPr="002C2D44">
        <w:rPr>
          <w:sz w:val="22"/>
          <w:szCs w:val="22"/>
        </w:rPr>
        <w:t xml:space="preserve"> be affected</w:t>
      </w:r>
      <w:r w:rsidRPr="002C2D44">
        <w:rPr>
          <w:sz w:val="22"/>
          <w:szCs w:val="22"/>
        </w:rPr>
        <w:t xml:space="preserve"> by a doorway in the location proposed.</w:t>
      </w:r>
      <w:r w:rsidR="00DC60E1" w:rsidRPr="002C2D44">
        <w:rPr>
          <w:sz w:val="22"/>
          <w:szCs w:val="22"/>
        </w:rPr>
        <w:t xml:space="preserve"> Th</w:t>
      </w:r>
      <w:r w:rsidR="00D26FD6" w:rsidRPr="002C2D44">
        <w:rPr>
          <w:sz w:val="22"/>
          <w:szCs w:val="22"/>
        </w:rPr>
        <w:t>e affected original fabric</w:t>
      </w:r>
      <w:r w:rsidR="00DC60E1" w:rsidRPr="002C2D44">
        <w:rPr>
          <w:sz w:val="22"/>
          <w:szCs w:val="22"/>
        </w:rPr>
        <w:t xml:space="preserve"> would comprise </w:t>
      </w:r>
      <w:r w:rsidR="002C2D44">
        <w:rPr>
          <w:sz w:val="22"/>
          <w:szCs w:val="22"/>
          <w:lang w:val="en-AU"/>
        </w:rPr>
        <w:t xml:space="preserve">the lower half of the </w:t>
      </w:r>
      <w:r w:rsidR="002C2D44" w:rsidRPr="00543935">
        <w:rPr>
          <w:sz w:val="22"/>
          <w:szCs w:val="22"/>
          <w:lang w:val="en-AU"/>
        </w:rPr>
        <w:t>limestone</w:t>
      </w:r>
      <w:r w:rsidR="002C2D44">
        <w:rPr>
          <w:sz w:val="22"/>
          <w:szCs w:val="22"/>
          <w:lang w:val="en-AU"/>
        </w:rPr>
        <w:t xml:space="preserve"> colonnettes and sill</w:t>
      </w:r>
      <w:r w:rsidR="002C2D44" w:rsidRPr="00543935">
        <w:rPr>
          <w:sz w:val="22"/>
          <w:szCs w:val="22"/>
          <w:lang w:val="en-AU"/>
        </w:rPr>
        <w:t xml:space="preserve"> </w:t>
      </w:r>
      <w:r w:rsidR="002C2D44">
        <w:rPr>
          <w:sz w:val="22"/>
          <w:szCs w:val="22"/>
          <w:lang w:val="en-AU"/>
        </w:rPr>
        <w:t xml:space="preserve">of </w:t>
      </w:r>
      <w:r w:rsidR="002C2D44" w:rsidRPr="00543935">
        <w:rPr>
          <w:sz w:val="22"/>
          <w:szCs w:val="22"/>
          <w:lang w:val="en-AU"/>
        </w:rPr>
        <w:t xml:space="preserve">the blind window </w:t>
      </w:r>
      <w:r w:rsidR="002C2D44">
        <w:rPr>
          <w:sz w:val="22"/>
          <w:szCs w:val="22"/>
          <w:lang w:val="en-AU"/>
        </w:rPr>
        <w:t xml:space="preserve">and </w:t>
      </w:r>
      <w:r w:rsidR="002C2D44" w:rsidRPr="00543935">
        <w:rPr>
          <w:sz w:val="22"/>
          <w:szCs w:val="22"/>
          <w:lang w:val="en-AU"/>
        </w:rPr>
        <w:t>some brickwork below</w:t>
      </w:r>
      <w:r w:rsidR="002C2D44">
        <w:rPr>
          <w:sz w:val="22"/>
          <w:szCs w:val="22"/>
          <w:lang w:val="en-AU"/>
        </w:rPr>
        <w:t xml:space="preserve">. </w:t>
      </w:r>
    </w:p>
    <w:p w14:paraId="161D694C" w14:textId="4AB1482C" w:rsidR="002C2D44" w:rsidRDefault="00774A7D" w:rsidP="00B2315B">
      <w:pPr>
        <w:pStyle w:val="BP2"/>
        <w:numPr>
          <w:ilvl w:val="0"/>
          <w:numId w:val="3"/>
        </w:numPr>
        <w:tabs>
          <w:tab w:val="clear" w:pos="432"/>
          <w:tab w:val="left" w:pos="709"/>
        </w:tabs>
        <w:ind w:left="567" w:hanging="567"/>
        <w:rPr>
          <w:sz w:val="22"/>
          <w:szCs w:val="22"/>
        </w:rPr>
      </w:pPr>
      <w:r w:rsidRPr="002C2D44">
        <w:rPr>
          <w:sz w:val="22"/>
          <w:szCs w:val="22"/>
        </w:rPr>
        <w:t>The Committee a</w:t>
      </w:r>
      <w:r w:rsidR="0004187B" w:rsidRPr="002C2D44">
        <w:rPr>
          <w:sz w:val="22"/>
          <w:szCs w:val="22"/>
        </w:rPr>
        <w:t>lso a</w:t>
      </w:r>
      <w:r w:rsidRPr="002C2D44">
        <w:rPr>
          <w:sz w:val="22"/>
          <w:szCs w:val="22"/>
        </w:rPr>
        <w:t xml:space="preserve">grees with the evidence of Mr Lovell, that the key consideration is the extent to which the proposed works would </w:t>
      </w:r>
      <w:r w:rsidR="00FC13D0" w:rsidRPr="002C2D44">
        <w:rPr>
          <w:sz w:val="22"/>
          <w:szCs w:val="22"/>
        </w:rPr>
        <w:t xml:space="preserve">detrimentally </w:t>
      </w:r>
      <w:r w:rsidRPr="002C2D44">
        <w:rPr>
          <w:sz w:val="22"/>
          <w:szCs w:val="22"/>
        </w:rPr>
        <w:t>affect the</w:t>
      </w:r>
      <w:r w:rsidR="00FC13D0" w:rsidRPr="002C2D44">
        <w:rPr>
          <w:sz w:val="22"/>
          <w:szCs w:val="22"/>
        </w:rPr>
        <w:t xml:space="preserve"> </w:t>
      </w:r>
      <w:r w:rsidRPr="002C2D44">
        <w:rPr>
          <w:sz w:val="22"/>
          <w:szCs w:val="22"/>
        </w:rPr>
        <w:t>Gothic architectur</w:t>
      </w:r>
      <w:r w:rsidR="00B148A8" w:rsidRPr="002C2D44">
        <w:rPr>
          <w:sz w:val="22"/>
          <w:szCs w:val="22"/>
        </w:rPr>
        <w:t>al expression</w:t>
      </w:r>
      <w:r w:rsidR="0004187B" w:rsidRPr="002C2D44">
        <w:rPr>
          <w:sz w:val="22"/>
          <w:szCs w:val="22"/>
        </w:rPr>
        <w:t xml:space="preserve"> of the room and the Place generally</w:t>
      </w:r>
      <w:r w:rsidRPr="002C2D44">
        <w:rPr>
          <w:sz w:val="22"/>
          <w:szCs w:val="22"/>
        </w:rPr>
        <w:t xml:space="preserve">. On this point the </w:t>
      </w:r>
      <w:r w:rsidRPr="002C2D44">
        <w:rPr>
          <w:sz w:val="22"/>
          <w:szCs w:val="22"/>
        </w:rPr>
        <w:lastRenderedPageBreak/>
        <w:t xml:space="preserve">Committee agrees </w:t>
      </w:r>
      <w:r w:rsidR="000E6064" w:rsidRPr="002C2D44">
        <w:rPr>
          <w:sz w:val="22"/>
          <w:szCs w:val="22"/>
        </w:rPr>
        <w:t xml:space="preserve">with his view </w:t>
      </w:r>
      <w:r w:rsidRPr="002C2D44">
        <w:rPr>
          <w:sz w:val="22"/>
          <w:szCs w:val="22"/>
        </w:rPr>
        <w:t xml:space="preserve">that any minor impacts on the </w:t>
      </w:r>
      <w:r w:rsidR="00D26FD6" w:rsidRPr="002C2D44">
        <w:rPr>
          <w:sz w:val="22"/>
          <w:szCs w:val="22"/>
        </w:rPr>
        <w:t xml:space="preserve">architecture </w:t>
      </w:r>
      <w:r w:rsidRPr="002C2D44">
        <w:rPr>
          <w:sz w:val="22"/>
          <w:szCs w:val="22"/>
        </w:rPr>
        <w:t>of the north</w:t>
      </w:r>
      <w:r w:rsidR="00DC60E1" w:rsidRPr="002C2D44">
        <w:rPr>
          <w:sz w:val="22"/>
          <w:szCs w:val="22"/>
        </w:rPr>
        <w:t>ern</w:t>
      </w:r>
      <w:r w:rsidRPr="002C2D44">
        <w:rPr>
          <w:sz w:val="22"/>
          <w:szCs w:val="22"/>
        </w:rPr>
        <w:t xml:space="preserve"> wall of the Cathedral Room that would be caused by the </w:t>
      </w:r>
      <w:r w:rsidR="00F4553D" w:rsidRPr="002C2D44">
        <w:rPr>
          <w:sz w:val="22"/>
          <w:szCs w:val="22"/>
        </w:rPr>
        <w:t xml:space="preserve">doorway </w:t>
      </w:r>
      <w:r w:rsidR="000E6064" w:rsidRPr="002C2D44">
        <w:rPr>
          <w:sz w:val="22"/>
          <w:szCs w:val="22"/>
        </w:rPr>
        <w:t xml:space="preserve">replacing </w:t>
      </w:r>
      <w:r w:rsidR="002C2D44">
        <w:rPr>
          <w:sz w:val="22"/>
          <w:szCs w:val="22"/>
        </w:rPr>
        <w:t xml:space="preserve">part of </w:t>
      </w:r>
      <w:r w:rsidR="000E6064" w:rsidRPr="002C2D44">
        <w:rPr>
          <w:sz w:val="22"/>
          <w:szCs w:val="22"/>
        </w:rPr>
        <w:t xml:space="preserve">a single </w:t>
      </w:r>
      <w:r w:rsidR="0045753E" w:rsidRPr="002C2D44">
        <w:rPr>
          <w:sz w:val="22"/>
          <w:szCs w:val="22"/>
        </w:rPr>
        <w:t xml:space="preserve">blind window </w:t>
      </w:r>
      <w:r w:rsidRPr="002C2D44">
        <w:rPr>
          <w:sz w:val="22"/>
          <w:szCs w:val="22"/>
        </w:rPr>
        <w:t>are</w:t>
      </w:r>
      <w:r w:rsidR="000E6064" w:rsidRPr="002C2D44">
        <w:rPr>
          <w:sz w:val="22"/>
          <w:szCs w:val="22"/>
        </w:rPr>
        <w:t xml:space="preserve"> of little consequence </w:t>
      </w:r>
      <w:r w:rsidR="0004187B" w:rsidRPr="002C2D44">
        <w:rPr>
          <w:sz w:val="22"/>
          <w:szCs w:val="22"/>
        </w:rPr>
        <w:t xml:space="preserve">when considered in the </w:t>
      </w:r>
      <w:r w:rsidRPr="002C2D44">
        <w:rPr>
          <w:sz w:val="22"/>
          <w:szCs w:val="22"/>
        </w:rPr>
        <w:t xml:space="preserve">context of the </w:t>
      </w:r>
      <w:r w:rsidR="00B148A8" w:rsidRPr="002C2D44">
        <w:rPr>
          <w:sz w:val="22"/>
          <w:szCs w:val="22"/>
        </w:rPr>
        <w:t xml:space="preserve">broader </w:t>
      </w:r>
      <w:r w:rsidRPr="002C2D44">
        <w:rPr>
          <w:sz w:val="22"/>
          <w:szCs w:val="22"/>
        </w:rPr>
        <w:t>works proposed</w:t>
      </w:r>
      <w:r w:rsidR="00B148A8" w:rsidRPr="002C2D44">
        <w:rPr>
          <w:sz w:val="22"/>
          <w:szCs w:val="22"/>
        </w:rPr>
        <w:t xml:space="preserve"> </w:t>
      </w:r>
      <w:r w:rsidR="000E6064" w:rsidRPr="002C2D44">
        <w:rPr>
          <w:sz w:val="22"/>
          <w:szCs w:val="22"/>
        </w:rPr>
        <w:t>and permitted to this part of the Place and the Place as a whole.</w:t>
      </w:r>
      <w:r w:rsidR="000C582F" w:rsidRPr="002C2D44">
        <w:rPr>
          <w:sz w:val="22"/>
          <w:szCs w:val="22"/>
        </w:rPr>
        <w:t xml:space="preserve"> The Committee </w:t>
      </w:r>
      <w:r w:rsidR="00D26FD6" w:rsidRPr="002C2D44">
        <w:rPr>
          <w:sz w:val="22"/>
          <w:szCs w:val="22"/>
        </w:rPr>
        <w:t>also agrees that</w:t>
      </w:r>
      <w:r w:rsidR="000C582F" w:rsidRPr="002C2D44">
        <w:rPr>
          <w:sz w:val="22"/>
          <w:szCs w:val="22"/>
        </w:rPr>
        <w:t xml:space="preserve"> the Gothic architectural expression of the room </w:t>
      </w:r>
      <w:r w:rsidR="00D26FD6" w:rsidRPr="002C2D44">
        <w:rPr>
          <w:sz w:val="22"/>
          <w:szCs w:val="22"/>
        </w:rPr>
        <w:t xml:space="preserve">as a whole </w:t>
      </w:r>
      <w:r w:rsidR="000C582F" w:rsidRPr="002C2D44">
        <w:rPr>
          <w:sz w:val="22"/>
          <w:szCs w:val="22"/>
        </w:rPr>
        <w:t xml:space="preserve">and </w:t>
      </w:r>
      <w:r w:rsidR="000E5CFA" w:rsidRPr="002C2D44">
        <w:rPr>
          <w:sz w:val="22"/>
          <w:szCs w:val="22"/>
        </w:rPr>
        <w:t xml:space="preserve">its </w:t>
      </w:r>
      <w:r w:rsidR="00DC60E1" w:rsidRPr="002C2D44">
        <w:rPr>
          <w:sz w:val="22"/>
          <w:szCs w:val="22"/>
        </w:rPr>
        <w:t xml:space="preserve">ornate </w:t>
      </w:r>
      <w:r w:rsidR="000C582F" w:rsidRPr="002C2D44">
        <w:rPr>
          <w:sz w:val="22"/>
          <w:szCs w:val="22"/>
        </w:rPr>
        <w:t xml:space="preserve">architectural details </w:t>
      </w:r>
      <w:r w:rsidR="00D26FD6" w:rsidRPr="002C2D44">
        <w:rPr>
          <w:sz w:val="22"/>
          <w:szCs w:val="22"/>
        </w:rPr>
        <w:t xml:space="preserve">including the stained glass window in the western wall, the marble pillars with carved capitals, the vaulted ceiling and the tracery at the top of the blind windows </w:t>
      </w:r>
      <w:r w:rsidR="000C582F" w:rsidRPr="002C2D44">
        <w:rPr>
          <w:sz w:val="22"/>
          <w:szCs w:val="22"/>
        </w:rPr>
        <w:t>w</w:t>
      </w:r>
      <w:r w:rsidR="00776DDE">
        <w:rPr>
          <w:sz w:val="22"/>
          <w:szCs w:val="22"/>
        </w:rPr>
        <w:t>ould</w:t>
      </w:r>
      <w:r w:rsidR="000C582F" w:rsidRPr="002C2D44">
        <w:rPr>
          <w:sz w:val="22"/>
          <w:szCs w:val="22"/>
        </w:rPr>
        <w:t xml:space="preserve"> </w:t>
      </w:r>
      <w:r w:rsidR="00D26FD6" w:rsidRPr="002C2D44">
        <w:rPr>
          <w:sz w:val="22"/>
          <w:szCs w:val="22"/>
        </w:rPr>
        <w:t>remain undisturbed</w:t>
      </w:r>
      <w:r w:rsidR="000E5CFA" w:rsidRPr="002C2D44">
        <w:rPr>
          <w:sz w:val="22"/>
          <w:szCs w:val="22"/>
        </w:rPr>
        <w:t>.</w:t>
      </w:r>
      <w:r w:rsidR="000C582F" w:rsidRPr="002C2D44">
        <w:rPr>
          <w:sz w:val="22"/>
          <w:szCs w:val="22"/>
        </w:rPr>
        <w:t xml:space="preserve"> </w:t>
      </w:r>
    </w:p>
    <w:p w14:paraId="592FC060" w14:textId="05BB3F76" w:rsidR="00774A7D" w:rsidRPr="002C2D44" w:rsidRDefault="002C2D44" w:rsidP="00B2315B">
      <w:pPr>
        <w:pStyle w:val="BP2"/>
        <w:numPr>
          <w:ilvl w:val="0"/>
          <w:numId w:val="3"/>
        </w:numPr>
        <w:tabs>
          <w:tab w:val="clear" w:pos="432"/>
          <w:tab w:val="left" w:pos="709"/>
        </w:tabs>
        <w:ind w:left="567" w:hanging="567"/>
        <w:rPr>
          <w:sz w:val="22"/>
          <w:szCs w:val="22"/>
        </w:rPr>
      </w:pPr>
      <w:r>
        <w:rPr>
          <w:sz w:val="22"/>
          <w:szCs w:val="22"/>
          <w:lang w:val="en-AU"/>
        </w:rPr>
        <w:t>The Committee does acknowledge that the insertion of a doorway in the north wall will disrupt the integrity of one of two walls in the room (along with the east wall) that was designed as purely ornamental, without a utilitarian purpose, and could be appreciated purely for its aesthetic character. This contrasts with the south and west walls which, although also ornamented in the Gothic style, originally had multiple doorways and served a circulation function. The north wall and its “pure” architectural expression is also considered more significant than the east wall in this regard as it is situated directly across from the main (south) entrance, so shapes perceptions of this space far more than the east wall. In this respect, the works are considered to have some impact on the heritage significance of the Cathedral Room and the Place as a whole</w:t>
      </w:r>
      <w:r w:rsidR="00207593">
        <w:rPr>
          <w:sz w:val="22"/>
          <w:szCs w:val="22"/>
          <w:lang w:val="en-AU"/>
        </w:rPr>
        <w:t>.</w:t>
      </w:r>
      <w:r w:rsidR="000C582F" w:rsidRPr="002C2D44">
        <w:rPr>
          <w:sz w:val="22"/>
          <w:szCs w:val="22"/>
        </w:rPr>
        <w:t xml:space="preserve"> </w:t>
      </w:r>
    </w:p>
    <w:p w14:paraId="25DB7C2E" w14:textId="54ECD074" w:rsidR="00671383" w:rsidRDefault="00671383" w:rsidP="00671383">
      <w:pPr>
        <w:pStyle w:val="BP2"/>
        <w:numPr>
          <w:ilvl w:val="0"/>
          <w:numId w:val="3"/>
        </w:numPr>
        <w:tabs>
          <w:tab w:val="clear" w:pos="432"/>
          <w:tab w:val="left" w:pos="709"/>
        </w:tabs>
        <w:ind w:left="567" w:hanging="567"/>
        <w:rPr>
          <w:sz w:val="22"/>
          <w:szCs w:val="22"/>
        </w:rPr>
      </w:pPr>
      <w:r>
        <w:rPr>
          <w:sz w:val="22"/>
          <w:szCs w:val="22"/>
        </w:rPr>
        <w:t>The Committee also agrees with the Permit Applicant that there is little support, either in the Statement of Cultural Heritage Significance or the historical evidence</w:t>
      </w:r>
      <w:r w:rsidR="001232CB">
        <w:rPr>
          <w:sz w:val="22"/>
          <w:szCs w:val="22"/>
        </w:rPr>
        <w:t xml:space="preserve"> available</w:t>
      </w:r>
      <w:r>
        <w:rPr>
          <w:sz w:val="22"/>
          <w:szCs w:val="22"/>
        </w:rPr>
        <w:t xml:space="preserve">, for the notion that a reverent or ecclesiastical atmosphere </w:t>
      </w:r>
      <w:r w:rsidR="0004187B">
        <w:rPr>
          <w:sz w:val="22"/>
          <w:szCs w:val="22"/>
        </w:rPr>
        <w:t xml:space="preserve">was intended to be created </w:t>
      </w:r>
      <w:r w:rsidR="0045753E">
        <w:rPr>
          <w:sz w:val="22"/>
          <w:szCs w:val="22"/>
        </w:rPr>
        <w:t xml:space="preserve">in the room </w:t>
      </w:r>
      <w:r w:rsidR="0004187B">
        <w:rPr>
          <w:sz w:val="22"/>
          <w:szCs w:val="22"/>
        </w:rPr>
        <w:t xml:space="preserve">and </w:t>
      </w:r>
      <w:r>
        <w:rPr>
          <w:sz w:val="22"/>
          <w:szCs w:val="22"/>
        </w:rPr>
        <w:t xml:space="preserve">is </w:t>
      </w:r>
      <w:r w:rsidR="000E6064">
        <w:rPr>
          <w:sz w:val="22"/>
          <w:szCs w:val="22"/>
        </w:rPr>
        <w:t xml:space="preserve">therefore an element </w:t>
      </w:r>
      <w:r>
        <w:rPr>
          <w:sz w:val="22"/>
          <w:szCs w:val="22"/>
        </w:rPr>
        <w:t>of the</w:t>
      </w:r>
      <w:r w:rsidR="002B24E4">
        <w:rPr>
          <w:sz w:val="22"/>
          <w:szCs w:val="22"/>
        </w:rPr>
        <w:t xml:space="preserve"> cultural heritage</w:t>
      </w:r>
      <w:r>
        <w:rPr>
          <w:sz w:val="22"/>
          <w:szCs w:val="22"/>
        </w:rPr>
        <w:t xml:space="preserve"> significance of the Cathedral Room.</w:t>
      </w:r>
      <w:r w:rsidRPr="00A83EE7">
        <w:rPr>
          <w:sz w:val="22"/>
          <w:szCs w:val="22"/>
        </w:rPr>
        <w:t xml:space="preserve"> </w:t>
      </w:r>
      <w:r>
        <w:rPr>
          <w:sz w:val="22"/>
          <w:szCs w:val="22"/>
        </w:rPr>
        <w:t xml:space="preserve">The Committee does not accept the Executive Director’s contention that the ‘ecclesiastical atmosphere’ of the Cathedral Room is a </w:t>
      </w:r>
      <w:r w:rsidR="00A247AC">
        <w:rPr>
          <w:sz w:val="22"/>
          <w:szCs w:val="22"/>
        </w:rPr>
        <w:t xml:space="preserve">key element of </w:t>
      </w:r>
      <w:r w:rsidR="002A1968">
        <w:rPr>
          <w:sz w:val="22"/>
          <w:szCs w:val="22"/>
        </w:rPr>
        <w:t xml:space="preserve">its significance or a </w:t>
      </w:r>
      <w:r>
        <w:rPr>
          <w:sz w:val="22"/>
          <w:szCs w:val="22"/>
        </w:rPr>
        <w:t>reason to uphold Condition 2.</w:t>
      </w:r>
    </w:p>
    <w:p w14:paraId="760F401E" w14:textId="132E0765" w:rsidR="00F4553D" w:rsidRDefault="00F4553D" w:rsidP="00671383">
      <w:pPr>
        <w:pStyle w:val="BP2"/>
        <w:numPr>
          <w:ilvl w:val="0"/>
          <w:numId w:val="3"/>
        </w:numPr>
        <w:tabs>
          <w:tab w:val="clear" w:pos="432"/>
          <w:tab w:val="left" w:pos="709"/>
        </w:tabs>
        <w:ind w:left="567" w:hanging="567"/>
        <w:rPr>
          <w:sz w:val="22"/>
          <w:szCs w:val="22"/>
        </w:rPr>
      </w:pPr>
      <w:r>
        <w:rPr>
          <w:sz w:val="22"/>
          <w:szCs w:val="22"/>
        </w:rPr>
        <w:t xml:space="preserve">In this respect, the Committee accepts the </w:t>
      </w:r>
      <w:r w:rsidR="00BB6236">
        <w:rPr>
          <w:sz w:val="22"/>
          <w:szCs w:val="22"/>
        </w:rPr>
        <w:t>evidence</w:t>
      </w:r>
      <w:r>
        <w:rPr>
          <w:sz w:val="22"/>
          <w:szCs w:val="22"/>
        </w:rPr>
        <w:t xml:space="preserve"> </w:t>
      </w:r>
      <w:r w:rsidR="00D26FD6">
        <w:rPr>
          <w:sz w:val="22"/>
          <w:szCs w:val="22"/>
        </w:rPr>
        <w:t xml:space="preserve">presented by Mr Lovell </w:t>
      </w:r>
      <w:r>
        <w:rPr>
          <w:sz w:val="22"/>
          <w:szCs w:val="22"/>
        </w:rPr>
        <w:t xml:space="preserve">that </w:t>
      </w:r>
      <w:r w:rsidR="002C2D44">
        <w:rPr>
          <w:sz w:val="22"/>
          <w:szCs w:val="22"/>
        </w:rPr>
        <w:t>the</w:t>
      </w:r>
      <w:r w:rsidR="002916C2">
        <w:rPr>
          <w:sz w:val="22"/>
          <w:szCs w:val="22"/>
        </w:rPr>
        <w:t xml:space="preserve"> </w:t>
      </w:r>
      <w:r>
        <w:rPr>
          <w:sz w:val="22"/>
          <w:szCs w:val="22"/>
        </w:rPr>
        <w:t>Gothic style of architecture was not unusual in commercial buildings as well as in churches</w:t>
      </w:r>
      <w:r w:rsidR="002916C2">
        <w:rPr>
          <w:sz w:val="22"/>
          <w:szCs w:val="22"/>
        </w:rPr>
        <w:t xml:space="preserve"> of the period</w:t>
      </w:r>
      <w:r>
        <w:rPr>
          <w:sz w:val="22"/>
          <w:szCs w:val="22"/>
        </w:rPr>
        <w:t xml:space="preserve">. </w:t>
      </w:r>
      <w:r w:rsidR="002916C2">
        <w:rPr>
          <w:sz w:val="22"/>
          <w:szCs w:val="22"/>
        </w:rPr>
        <w:t xml:space="preserve">The adoption of Gothic arches and the like in a commercial building, do not </w:t>
      </w:r>
      <w:r w:rsidR="0004187B">
        <w:rPr>
          <w:sz w:val="22"/>
          <w:szCs w:val="22"/>
        </w:rPr>
        <w:t xml:space="preserve">necessarily </w:t>
      </w:r>
      <w:r w:rsidR="002916C2">
        <w:rPr>
          <w:sz w:val="22"/>
          <w:szCs w:val="22"/>
        </w:rPr>
        <w:t xml:space="preserve">afford a </w:t>
      </w:r>
      <w:r w:rsidR="00BB6236">
        <w:rPr>
          <w:sz w:val="22"/>
          <w:szCs w:val="22"/>
        </w:rPr>
        <w:t xml:space="preserve">commercial </w:t>
      </w:r>
      <w:r w:rsidR="002916C2">
        <w:rPr>
          <w:sz w:val="22"/>
          <w:szCs w:val="22"/>
        </w:rPr>
        <w:t xml:space="preserve">space a church-like </w:t>
      </w:r>
      <w:r w:rsidR="004058BA">
        <w:rPr>
          <w:sz w:val="22"/>
          <w:szCs w:val="22"/>
        </w:rPr>
        <w:t>‘</w:t>
      </w:r>
      <w:r w:rsidR="00BB6236">
        <w:rPr>
          <w:sz w:val="22"/>
          <w:szCs w:val="22"/>
        </w:rPr>
        <w:t>atmosphere</w:t>
      </w:r>
      <w:r w:rsidR="004058BA">
        <w:rPr>
          <w:sz w:val="22"/>
          <w:szCs w:val="22"/>
        </w:rPr>
        <w:t>’</w:t>
      </w:r>
      <w:r w:rsidR="00BB6236">
        <w:rPr>
          <w:sz w:val="22"/>
          <w:szCs w:val="22"/>
        </w:rPr>
        <w:t>.</w:t>
      </w:r>
      <w:r w:rsidR="002916C2">
        <w:rPr>
          <w:sz w:val="22"/>
          <w:szCs w:val="22"/>
        </w:rPr>
        <w:t xml:space="preserve"> </w:t>
      </w:r>
      <w:r>
        <w:rPr>
          <w:sz w:val="22"/>
          <w:szCs w:val="22"/>
        </w:rPr>
        <w:t xml:space="preserve">Further, </w:t>
      </w:r>
      <w:r w:rsidR="00BB6236">
        <w:rPr>
          <w:sz w:val="22"/>
          <w:szCs w:val="22"/>
        </w:rPr>
        <w:t xml:space="preserve">while </w:t>
      </w:r>
      <w:r>
        <w:rPr>
          <w:sz w:val="22"/>
          <w:szCs w:val="22"/>
        </w:rPr>
        <w:t xml:space="preserve">the atmosphere at present in the </w:t>
      </w:r>
      <w:r w:rsidR="0004187B">
        <w:rPr>
          <w:sz w:val="22"/>
          <w:szCs w:val="22"/>
        </w:rPr>
        <w:t xml:space="preserve">largely disused </w:t>
      </w:r>
      <w:r>
        <w:rPr>
          <w:sz w:val="22"/>
          <w:szCs w:val="22"/>
        </w:rPr>
        <w:t>Cathedral Room m</w:t>
      </w:r>
      <w:r w:rsidR="0004187B">
        <w:rPr>
          <w:sz w:val="22"/>
          <w:szCs w:val="22"/>
        </w:rPr>
        <w:t>ight</w:t>
      </w:r>
      <w:r>
        <w:rPr>
          <w:sz w:val="22"/>
          <w:szCs w:val="22"/>
        </w:rPr>
        <w:t xml:space="preserve"> be </w:t>
      </w:r>
      <w:r w:rsidR="00BB6236">
        <w:rPr>
          <w:sz w:val="22"/>
          <w:szCs w:val="22"/>
        </w:rPr>
        <w:t xml:space="preserve">described as </w:t>
      </w:r>
      <w:r>
        <w:rPr>
          <w:sz w:val="22"/>
          <w:szCs w:val="22"/>
        </w:rPr>
        <w:t xml:space="preserve">quiet and church-like, this would not have been the </w:t>
      </w:r>
      <w:r w:rsidR="00BB6236">
        <w:rPr>
          <w:sz w:val="22"/>
          <w:szCs w:val="22"/>
        </w:rPr>
        <w:t xml:space="preserve">atmosphere found in </w:t>
      </w:r>
      <w:r w:rsidR="0004187B">
        <w:rPr>
          <w:sz w:val="22"/>
          <w:szCs w:val="22"/>
        </w:rPr>
        <w:t xml:space="preserve">this part of </w:t>
      </w:r>
      <w:r w:rsidR="00BB6236">
        <w:rPr>
          <w:sz w:val="22"/>
          <w:szCs w:val="22"/>
        </w:rPr>
        <w:t xml:space="preserve">the Place </w:t>
      </w:r>
      <w:r w:rsidR="0004187B">
        <w:rPr>
          <w:sz w:val="22"/>
          <w:szCs w:val="22"/>
        </w:rPr>
        <w:t xml:space="preserve">originally </w:t>
      </w:r>
      <w:r>
        <w:rPr>
          <w:sz w:val="22"/>
          <w:szCs w:val="22"/>
        </w:rPr>
        <w:t xml:space="preserve">when </w:t>
      </w:r>
      <w:r w:rsidR="00BB6236">
        <w:rPr>
          <w:sz w:val="22"/>
          <w:szCs w:val="22"/>
        </w:rPr>
        <w:t>th</w:t>
      </w:r>
      <w:r w:rsidR="0004187B">
        <w:rPr>
          <w:sz w:val="22"/>
          <w:szCs w:val="22"/>
        </w:rPr>
        <w:t>e</w:t>
      </w:r>
      <w:r w:rsidR="00BB6236">
        <w:rPr>
          <w:sz w:val="22"/>
          <w:szCs w:val="22"/>
        </w:rPr>
        <w:t xml:space="preserve"> room </w:t>
      </w:r>
      <w:r>
        <w:rPr>
          <w:sz w:val="22"/>
          <w:szCs w:val="22"/>
        </w:rPr>
        <w:t>was a meeting place for people attending the Stock Exchange trading room above</w:t>
      </w:r>
      <w:r w:rsidR="00BB6236">
        <w:rPr>
          <w:sz w:val="22"/>
          <w:szCs w:val="22"/>
        </w:rPr>
        <w:t xml:space="preserve"> and/or the banking chamber next door. </w:t>
      </w:r>
      <w:r w:rsidR="004058BA">
        <w:rPr>
          <w:sz w:val="22"/>
          <w:szCs w:val="22"/>
        </w:rPr>
        <w:t xml:space="preserve">In this respect the Committee notes the contemporary newspaper article referred to by Mr Lovell which refers to the mass of business done in the room and the mad rush of people to enter it. </w:t>
      </w:r>
      <w:r w:rsidR="00BB6236">
        <w:rPr>
          <w:sz w:val="22"/>
          <w:szCs w:val="22"/>
        </w:rPr>
        <w:t>The Committee considers that c</w:t>
      </w:r>
      <w:r w:rsidR="002916C2">
        <w:rPr>
          <w:sz w:val="22"/>
          <w:szCs w:val="22"/>
        </w:rPr>
        <w:t xml:space="preserve">hurch-like quiet is not an element of the significance of the </w:t>
      </w:r>
      <w:r w:rsidR="00776DDE">
        <w:rPr>
          <w:sz w:val="22"/>
          <w:szCs w:val="22"/>
        </w:rPr>
        <w:t>P</w:t>
      </w:r>
      <w:r w:rsidR="002916C2">
        <w:rPr>
          <w:sz w:val="22"/>
          <w:szCs w:val="22"/>
        </w:rPr>
        <w:t>lace.</w:t>
      </w:r>
    </w:p>
    <w:p w14:paraId="2B39F752" w14:textId="107BB4CF" w:rsidR="00F4553D" w:rsidRDefault="00F4553D" w:rsidP="00671383">
      <w:pPr>
        <w:pStyle w:val="BP2"/>
        <w:numPr>
          <w:ilvl w:val="0"/>
          <w:numId w:val="3"/>
        </w:numPr>
        <w:tabs>
          <w:tab w:val="clear" w:pos="432"/>
          <w:tab w:val="left" w:pos="709"/>
        </w:tabs>
        <w:ind w:left="567" w:hanging="567"/>
        <w:rPr>
          <w:sz w:val="22"/>
          <w:szCs w:val="22"/>
        </w:rPr>
      </w:pPr>
      <w:r>
        <w:rPr>
          <w:sz w:val="22"/>
          <w:szCs w:val="22"/>
        </w:rPr>
        <w:t xml:space="preserve">Moreover, the Committee considers that the submission by the </w:t>
      </w:r>
      <w:r w:rsidR="00AB10A8">
        <w:rPr>
          <w:sz w:val="22"/>
          <w:szCs w:val="22"/>
        </w:rPr>
        <w:t>Executive Director</w:t>
      </w:r>
      <w:r>
        <w:rPr>
          <w:sz w:val="22"/>
          <w:szCs w:val="22"/>
        </w:rPr>
        <w:t xml:space="preserve"> concerning the </w:t>
      </w:r>
      <w:r w:rsidR="002916C2">
        <w:rPr>
          <w:sz w:val="22"/>
          <w:szCs w:val="22"/>
        </w:rPr>
        <w:t xml:space="preserve">need to retain the </w:t>
      </w:r>
      <w:r>
        <w:rPr>
          <w:sz w:val="22"/>
          <w:szCs w:val="22"/>
        </w:rPr>
        <w:t xml:space="preserve">reverent and peaceful atmosphere is </w:t>
      </w:r>
      <w:r w:rsidR="002916C2">
        <w:rPr>
          <w:sz w:val="22"/>
          <w:szCs w:val="22"/>
        </w:rPr>
        <w:t xml:space="preserve">somewhat </w:t>
      </w:r>
      <w:r w:rsidR="007C0B0F">
        <w:rPr>
          <w:sz w:val="22"/>
          <w:szCs w:val="22"/>
        </w:rPr>
        <w:t>inconsistent with the acceptance by</w:t>
      </w:r>
      <w:r w:rsidR="002916C2">
        <w:rPr>
          <w:sz w:val="22"/>
          <w:szCs w:val="22"/>
        </w:rPr>
        <w:t xml:space="preserve"> </w:t>
      </w:r>
      <w:r w:rsidR="00207593">
        <w:rPr>
          <w:sz w:val="22"/>
          <w:szCs w:val="22"/>
        </w:rPr>
        <w:t xml:space="preserve">the </w:t>
      </w:r>
      <w:r w:rsidR="00AB10A8">
        <w:rPr>
          <w:sz w:val="22"/>
          <w:szCs w:val="22"/>
        </w:rPr>
        <w:t>Executive Director</w:t>
      </w:r>
      <w:r w:rsidR="002916C2">
        <w:rPr>
          <w:sz w:val="22"/>
          <w:szCs w:val="22"/>
        </w:rPr>
        <w:t xml:space="preserve"> </w:t>
      </w:r>
      <w:r w:rsidR="007C0B0F">
        <w:rPr>
          <w:sz w:val="22"/>
          <w:szCs w:val="22"/>
        </w:rPr>
        <w:t>of a substantial restaurant as a reasonable</w:t>
      </w:r>
      <w:r w:rsidR="002916C2">
        <w:rPr>
          <w:sz w:val="22"/>
          <w:szCs w:val="22"/>
        </w:rPr>
        <w:t xml:space="preserve"> use of the room</w:t>
      </w:r>
      <w:r w:rsidR="007C0B0F">
        <w:rPr>
          <w:sz w:val="22"/>
          <w:szCs w:val="22"/>
        </w:rPr>
        <w:t>,</w:t>
      </w:r>
      <w:r w:rsidR="002916C2">
        <w:rPr>
          <w:sz w:val="22"/>
          <w:szCs w:val="22"/>
        </w:rPr>
        <w:t xml:space="preserve"> which will bring its own noisy incursions into the space</w:t>
      </w:r>
      <w:r w:rsidR="007C0B0F">
        <w:rPr>
          <w:sz w:val="22"/>
          <w:szCs w:val="22"/>
        </w:rPr>
        <w:t>.</w:t>
      </w:r>
    </w:p>
    <w:p w14:paraId="2C75F404" w14:textId="4AFBF221" w:rsidR="000E6064" w:rsidRPr="007747B2" w:rsidRDefault="000E6064" w:rsidP="00671383">
      <w:pPr>
        <w:pStyle w:val="BP2"/>
        <w:numPr>
          <w:ilvl w:val="0"/>
          <w:numId w:val="3"/>
        </w:numPr>
        <w:tabs>
          <w:tab w:val="clear" w:pos="432"/>
          <w:tab w:val="left" w:pos="709"/>
        </w:tabs>
        <w:ind w:left="567" w:hanging="567"/>
        <w:rPr>
          <w:sz w:val="22"/>
          <w:szCs w:val="22"/>
        </w:rPr>
      </w:pPr>
      <w:r>
        <w:rPr>
          <w:sz w:val="22"/>
          <w:szCs w:val="22"/>
        </w:rPr>
        <w:t xml:space="preserve">The Committee </w:t>
      </w:r>
      <w:r w:rsidR="0045753E">
        <w:rPr>
          <w:sz w:val="22"/>
          <w:szCs w:val="22"/>
        </w:rPr>
        <w:t>does a</w:t>
      </w:r>
      <w:r>
        <w:rPr>
          <w:sz w:val="22"/>
          <w:szCs w:val="22"/>
        </w:rPr>
        <w:t>cknowledge that</w:t>
      </w:r>
      <w:r w:rsidR="00875083">
        <w:rPr>
          <w:sz w:val="22"/>
          <w:szCs w:val="22"/>
        </w:rPr>
        <w:t>, albeit there have always been doors from the Cathedral Room to adjoining interior spaces in the building,</w:t>
      </w:r>
      <w:r>
        <w:rPr>
          <w:sz w:val="22"/>
          <w:szCs w:val="22"/>
        </w:rPr>
        <w:t xml:space="preserve"> the creation of </w:t>
      </w:r>
      <w:r w:rsidR="00875083">
        <w:rPr>
          <w:sz w:val="22"/>
          <w:szCs w:val="22"/>
        </w:rPr>
        <w:t>a</w:t>
      </w:r>
      <w:r>
        <w:rPr>
          <w:sz w:val="22"/>
          <w:szCs w:val="22"/>
        </w:rPr>
        <w:t xml:space="preserve"> doorway</w:t>
      </w:r>
      <w:r w:rsidR="00776DDE">
        <w:rPr>
          <w:sz w:val="22"/>
          <w:szCs w:val="22"/>
        </w:rPr>
        <w:t xml:space="preserve"> in the northern wall</w:t>
      </w:r>
      <w:r>
        <w:rPr>
          <w:sz w:val="22"/>
          <w:szCs w:val="22"/>
        </w:rPr>
        <w:t xml:space="preserve"> </w:t>
      </w:r>
      <w:r w:rsidR="00776DDE">
        <w:rPr>
          <w:sz w:val="22"/>
          <w:szCs w:val="22"/>
        </w:rPr>
        <w:t>giving direct access to</w:t>
      </w:r>
      <w:r>
        <w:rPr>
          <w:sz w:val="22"/>
          <w:szCs w:val="22"/>
        </w:rPr>
        <w:t xml:space="preserve"> the exterior of the building will alter the sense of enclosure of the Cathedral Room</w:t>
      </w:r>
      <w:r w:rsidR="0045753E">
        <w:rPr>
          <w:sz w:val="22"/>
          <w:szCs w:val="22"/>
        </w:rPr>
        <w:t xml:space="preserve"> and </w:t>
      </w:r>
      <w:r w:rsidR="00875083">
        <w:rPr>
          <w:sz w:val="22"/>
          <w:szCs w:val="22"/>
        </w:rPr>
        <w:t>bring about a direct relationship with the outdoors. T</w:t>
      </w:r>
      <w:r w:rsidR="0045753E">
        <w:rPr>
          <w:sz w:val="22"/>
          <w:szCs w:val="22"/>
        </w:rPr>
        <w:t xml:space="preserve">his </w:t>
      </w:r>
      <w:r w:rsidR="004058BA">
        <w:rPr>
          <w:sz w:val="22"/>
          <w:szCs w:val="22"/>
        </w:rPr>
        <w:t xml:space="preserve">would </w:t>
      </w:r>
      <w:r w:rsidR="000E5CFA">
        <w:rPr>
          <w:sz w:val="22"/>
          <w:szCs w:val="22"/>
        </w:rPr>
        <w:t xml:space="preserve">bring about some change to the way the space </w:t>
      </w:r>
      <w:r w:rsidR="004058BA">
        <w:rPr>
          <w:sz w:val="22"/>
          <w:szCs w:val="22"/>
        </w:rPr>
        <w:t xml:space="preserve">is perceived and perhaps </w:t>
      </w:r>
      <w:r w:rsidR="00DC60E1">
        <w:rPr>
          <w:sz w:val="22"/>
          <w:szCs w:val="22"/>
        </w:rPr>
        <w:t>was designed to be</w:t>
      </w:r>
      <w:r w:rsidR="000E5CFA">
        <w:rPr>
          <w:sz w:val="22"/>
          <w:szCs w:val="22"/>
        </w:rPr>
        <w:t xml:space="preserve"> experienced. </w:t>
      </w:r>
      <w:r w:rsidR="004058BA">
        <w:rPr>
          <w:sz w:val="22"/>
          <w:szCs w:val="22"/>
        </w:rPr>
        <w:t>This characteristic of the room is nevertheless not identified in the Statement of Significance</w:t>
      </w:r>
      <w:r w:rsidR="002A14A2">
        <w:rPr>
          <w:sz w:val="22"/>
          <w:szCs w:val="22"/>
        </w:rPr>
        <w:t xml:space="preserve"> and no compelling evidence was presented to convince the Committee that it is part of the State level significance of the Place. </w:t>
      </w:r>
    </w:p>
    <w:p w14:paraId="617FD346" w14:textId="3476333B" w:rsidR="00E07D1C" w:rsidRDefault="00E07D1C" w:rsidP="000411B7">
      <w:pPr>
        <w:pStyle w:val="BP2"/>
        <w:numPr>
          <w:ilvl w:val="0"/>
          <w:numId w:val="3"/>
        </w:numPr>
        <w:tabs>
          <w:tab w:val="clear" w:pos="432"/>
          <w:tab w:val="left" w:pos="709"/>
        </w:tabs>
        <w:ind w:left="567" w:hanging="567"/>
        <w:rPr>
          <w:sz w:val="22"/>
          <w:szCs w:val="22"/>
        </w:rPr>
      </w:pPr>
      <w:r>
        <w:rPr>
          <w:sz w:val="22"/>
          <w:szCs w:val="22"/>
        </w:rPr>
        <w:lastRenderedPageBreak/>
        <w:t>After considering all submissions and inspecting the</w:t>
      </w:r>
      <w:r w:rsidR="001545C8">
        <w:rPr>
          <w:sz w:val="22"/>
          <w:szCs w:val="22"/>
        </w:rPr>
        <w:t xml:space="preserve"> Place</w:t>
      </w:r>
      <w:r>
        <w:rPr>
          <w:sz w:val="22"/>
          <w:szCs w:val="22"/>
        </w:rPr>
        <w:t xml:space="preserve">, the Committee agrees with the position of the Permit Applicant, as informed by its expert witnesses, that the </w:t>
      </w:r>
      <w:r w:rsidR="00B8751F">
        <w:rPr>
          <w:sz w:val="22"/>
          <w:szCs w:val="22"/>
        </w:rPr>
        <w:t>proposed works</w:t>
      </w:r>
      <w:r>
        <w:rPr>
          <w:sz w:val="22"/>
          <w:szCs w:val="22"/>
        </w:rPr>
        <w:t xml:space="preserve"> </w:t>
      </w:r>
      <w:r w:rsidR="00CE3400">
        <w:rPr>
          <w:sz w:val="22"/>
          <w:szCs w:val="22"/>
        </w:rPr>
        <w:t>would</w:t>
      </w:r>
      <w:r>
        <w:rPr>
          <w:sz w:val="22"/>
          <w:szCs w:val="22"/>
        </w:rPr>
        <w:t xml:space="preserve"> have </w:t>
      </w:r>
      <w:r w:rsidR="00DC60E1">
        <w:rPr>
          <w:sz w:val="22"/>
          <w:szCs w:val="22"/>
        </w:rPr>
        <w:t>a</w:t>
      </w:r>
      <w:r w:rsidR="002C2D44">
        <w:rPr>
          <w:sz w:val="22"/>
          <w:szCs w:val="22"/>
        </w:rPr>
        <w:t xml:space="preserve"> </w:t>
      </w:r>
      <w:r w:rsidR="000E5CFA">
        <w:rPr>
          <w:sz w:val="22"/>
          <w:szCs w:val="22"/>
        </w:rPr>
        <w:t>modest</w:t>
      </w:r>
      <w:r>
        <w:rPr>
          <w:sz w:val="22"/>
          <w:szCs w:val="22"/>
        </w:rPr>
        <w:t xml:space="preserve"> impact on the cultural heritage significance of the Place.</w:t>
      </w:r>
      <w:r w:rsidR="00B07AE2">
        <w:rPr>
          <w:sz w:val="22"/>
          <w:szCs w:val="22"/>
        </w:rPr>
        <w:t xml:space="preserve"> </w:t>
      </w:r>
    </w:p>
    <w:p w14:paraId="79D07587" w14:textId="79B827DE" w:rsidR="00C160F5" w:rsidRDefault="00C160F5" w:rsidP="000411B7">
      <w:pPr>
        <w:pStyle w:val="BP2"/>
        <w:numPr>
          <w:ilvl w:val="0"/>
          <w:numId w:val="3"/>
        </w:numPr>
        <w:tabs>
          <w:tab w:val="clear" w:pos="432"/>
          <w:tab w:val="left" w:pos="709"/>
        </w:tabs>
        <w:ind w:left="567" w:hanging="567"/>
        <w:rPr>
          <w:sz w:val="22"/>
          <w:szCs w:val="22"/>
        </w:rPr>
      </w:pPr>
      <w:r>
        <w:rPr>
          <w:sz w:val="22"/>
          <w:szCs w:val="22"/>
        </w:rPr>
        <w:t xml:space="preserve">The Committee now </w:t>
      </w:r>
      <w:r w:rsidR="00DC60E1">
        <w:rPr>
          <w:sz w:val="22"/>
          <w:szCs w:val="22"/>
        </w:rPr>
        <w:t>turns to</w:t>
      </w:r>
      <w:r>
        <w:rPr>
          <w:sz w:val="22"/>
          <w:szCs w:val="22"/>
        </w:rPr>
        <w:t xml:space="preserve"> the extent to which prohibition of the new doorway would impact on the reasonable and economic use of the Place and how this should be balanced against the impact</w:t>
      </w:r>
      <w:r w:rsidR="001125EE" w:rsidRPr="001125EE">
        <w:rPr>
          <w:sz w:val="22"/>
          <w:szCs w:val="22"/>
        </w:rPr>
        <w:t xml:space="preserve"> </w:t>
      </w:r>
      <w:r w:rsidR="001125EE">
        <w:rPr>
          <w:sz w:val="22"/>
          <w:szCs w:val="22"/>
        </w:rPr>
        <w:t>on cultural heritage significance</w:t>
      </w:r>
      <w:r>
        <w:rPr>
          <w:sz w:val="22"/>
          <w:szCs w:val="22"/>
        </w:rPr>
        <w:t>.</w:t>
      </w:r>
    </w:p>
    <w:p w14:paraId="095C4EEA" w14:textId="36C31F2F" w:rsidR="00C40DBD" w:rsidRDefault="00B46D25" w:rsidP="00717377">
      <w:pPr>
        <w:pStyle w:val="H4"/>
        <w:keepNext/>
        <w:spacing w:after="120"/>
        <w:rPr>
          <w:sz w:val="22"/>
        </w:rPr>
      </w:pPr>
      <w:r w:rsidRPr="00B46D25">
        <w:rPr>
          <w:sz w:val="22"/>
        </w:rPr>
        <w:t xml:space="preserve">the </w:t>
      </w:r>
      <w:r w:rsidR="002D216E">
        <w:rPr>
          <w:sz w:val="22"/>
        </w:rPr>
        <w:t xml:space="preserve">extent to which the </w:t>
      </w:r>
      <w:r w:rsidR="009800F0">
        <w:rPr>
          <w:sz w:val="22"/>
        </w:rPr>
        <w:t xml:space="preserve">condition, </w:t>
      </w:r>
      <w:r w:rsidR="00F96FF7">
        <w:rPr>
          <w:sz w:val="22"/>
        </w:rPr>
        <w:t>if upheld, would affect</w:t>
      </w:r>
      <w:r w:rsidR="002D216E">
        <w:rPr>
          <w:sz w:val="22"/>
        </w:rPr>
        <w:t xml:space="preserve"> </w:t>
      </w:r>
      <w:r w:rsidRPr="00B46D25">
        <w:rPr>
          <w:sz w:val="22"/>
        </w:rPr>
        <w:t>the reasonable and economic use of the Plac</w:t>
      </w:r>
      <w:r>
        <w:rPr>
          <w:sz w:val="22"/>
        </w:rPr>
        <w:t>E</w:t>
      </w:r>
    </w:p>
    <w:p w14:paraId="354C2054" w14:textId="6416DE2F" w:rsidR="00C40DBD" w:rsidRPr="00844234" w:rsidRDefault="00C40DBD" w:rsidP="00C40DBD">
      <w:pPr>
        <w:pStyle w:val="BP2"/>
        <w:spacing w:before="240" w:after="240"/>
        <w:jc w:val="both"/>
        <w:rPr>
          <w:bCs/>
          <w:i/>
          <w:spacing w:val="-1"/>
          <w:sz w:val="22"/>
          <w:szCs w:val="22"/>
        </w:rPr>
      </w:pPr>
      <w:r w:rsidRPr="00844234">
        <w:rPr>
          <w:bCs/>
          <w:i/>
          <w:spacing w:val="-1"/>
          <w:sz w:val="22"/>
          <w:szCs w:val="22"/>
        </w:rPr>
        <w:t>Summary of submissions and evidence</w:t>
      </w:r>
    </w:p>
    <w:p w14:paraId="46DBEABB" w14:textId="65BC549D" w:rsidR="00926364" w:rsidRDefault="006F2B4B" w:rsidP="000411B7">
      <w:pPr>
        <w:pStyle w:val="BP2"/>
        <w:numPr>
          <w:ilvl w:val="0"/>
          <w:numId w:val="3"/>
        </w:numPr>
        <w:tabs>
          <w:tab w:val="clear" w:pos="432"/>
          <w:tab w:val="left" w:pos="567"/>
        </w:tabs>
        <w:ind w:left="567" w:hanging="567"/>
        <w:rPr>
          <w:sz w:val="22"/>
          <w:szCs w:val="22"/>
        </w:rPr>
      </w:pPr>
      <w:r>
        <w:rPr>
          <w:sz w:val="22"/>
          <w:szCs w:val="22"/>
        </w:rPr>
        <w:t>The Executive Director submitted that</w:t>
      </w:r>
      <w:r w:rsidR="0067690F">
        <w:rPr>
          <w:sz w:val="22"/>
          <w:szCs w:val="22"/>
        </w:rPr>
        <w:t xml:space="preserve"> </w:t>
      </w:r>
      <w:r w:rsidR="00C160F5">
        <w:rPr>
          <w:sz w:val="22"/>
          <w:szCs w:val="22"/>
        </w:rPr>
        <w:t xml:space="preserve">the absence of the proposed </w:t>
      </w:r>
      <w:r w:rsidR="00022A6E">
        <w:rPr>
          <w:sz w:val="22"/>
          <w:szCs w:val="22"/>
        </w:rPr>
        <w:t xml:space="preserve">(fourth) </w:t>
      </w:r>
      <w:r w:rsidR="00C160F5">
        <w:rPr>
          <w:sz w:val="22"/>
          <w:szCs w:val="22"/>
        </w:rPr>
        <w:t xml:space="preserve">door </w:t>
      </w:r>
      <w:r w:rsidR="00022A6E">
        <w:rPr>
          <w:sz w:val="22"/>
          <w:szCs w:val="22"/>
        </w:rPr>
        <w:t xml:space="preserve">to the room </w:t>
      </w:r>
      <w:r w:rsidR="00C160F5">
        <w:rPr>
          <w:sz w:val="22"/>
          <w:szCs w:val="22"/>
        </w:rPr>
        <w:t xml:space="preserve">would </w:t>
      </w:r>
      <w:r w:rsidR="0067690F">
        <w:rPr>
          <w:sz w:val="22"/>
          <w:szCs w:val="22"/>
        </w:rPr>
        <w:t>not render the Cathedral Room inaccessible</w:t>
      </w:r>
      <w:r w:rsidR="005619AB">
        <w:rPr>
          <w:sz w:val="22"/>
          <w:szCs w:val="22"/>
        </w:rPr>
        <w:t xml:space="preserve"> or reduce scope for emergency </w:t>
      </w:r>
      <w:r w:rsidR="001C0E36">
        <w:rPr>
          <w:sz w:val="22"/>
          <w:szCs w:val="22"/>
        </w:rPr>
        <w:t>egress</w:t>
      </w:r>
      <w:r w:rsidR="00C160F5">
        <w:rPr>
          <w:sz w:val="22"/>
          <w:szCs w:val="22"/>
        </w:rPr>
        <w:t xml:space="preserve">; </w:t>
      </w:r>
      <w:r w:rsidR="00443D26">
        <w:rPr>
          <w:sz w:val="22"/>
          <w:szCs w:val="22"/>
        </w:rPr>
        <w:t xml:space="preserve">that the additional light afforded to the room would not be substantial and reliance on artificial lighting in the room would need to occur with or without the </w:t>
      </w:r>
      <w:r w:rsidR="00776DDE">
        <w:rPr>
          <w:sz w:val="22"/>
          <w:szCs w:val="22"/>
        </w:rPr>
        <w:t xml:space="preserve">proposed </w:t>
      </w:r>
      <w:r w:rsidR="00443D26">
        <w:rPr>
          <w:sz w:val="22"/>
          <w:szCs w:val="22"/>
        </w:rPr>
        <w:t xml:space="preserve">door; and </w:t>
      </w:r>
      <w:r w:rsidR="00C160F5">
        <w:rPr>
          <w:sz w:val="22"/>
          <w:szCs w:val="22"/>
        </w:rPr>
        <w:t>there is no evidence for the Permit Applicant‘s assertion that the doorway to the exterior would allow ‘passing trade’ to be attracted to the restaurant</w:t>
      </w:r>
      <w:r w:rsidR="00384E8F">
        <w:rPr>
          <w:sz w:val="22"/>
          <w:szCs w:val="22"/>
        </w:rPr>
        <w:t xml:space="preserve"> or that tenancy of the external Cathedral Court to be created north of the Cathedral Room would be unviable</w:t>
      </w:r>
      <w:r w:rsidR="00443D26">
        <w:rPr>
          <w:sz w:val="22"/>
          <w:szCs w:val="22"/>
        </w:rPr>
        <w:t xml:space="preserve">. </w:t>
      </w:r>
      <w:r w:rsidR="00FB67D9">
        <w:rPr>
          <w:sz w:val="22"/>
          <w:szCs w:val="22"/>
        </w:rPr>
        <w:t>Thus</w:t>
      </w:r>
      <w:r w:rsidR="00F46AB1">
        <w:rPr>
          <w:sz w:val="22"/>
          <w:szCs w:val="22"/>
        </w:rPr>
        <w:t>,</w:t>
      </w:r>
      <w:r w:rsidR="00FB67D9">
        <w:rPr>
          <w:sz w:val="22"/>
          <w:szCs w:val="22"/>
        </w:rPr>
        <w:t xml:space="preserve"> it was said that </w:t>
      </w:r>
      <w:r w:rsidR="00E41C20">
        <w:rPr>
          <w:sz w:val="22"/>
          <w:szCs w:val="22"/>
        </w:rPr>
        <w:t xml:space="preserve">any </w:t>
      </w:r>
      <w:r w:rsidR="00EB42EE">
        <w:rPr>
          <w:sz w:val="22"/>
          <w:szCs w:val="22"/>
        </w:rPr>
        <w:t xml:space="preserve">alleged </w:t>
      </w:r>
      <w:r w:rsidR="00885A8F">
        <w:rPr>
          <w:sz w:val="22"/>
          <w:szCs w:val="22"/>
        </w:rPr>
        <w:t xml:space="preserve">benefit </w:t>
      </w:r>
      <w:r w:rsidR="00EB42EE">
        <w:rPr>
          <w:sz w:val="22"/>
          <w:szCs w:val="22"/>
        </w:rPr>
        <w:t>of the proposed doorway in terms of activating</w:t>
      </w:r>
      <w:r w:rsidR="00885A8F">
        <w:rPr>
          <w:sz w:val="22"/>
          <w:szCs w:val="22"/>
        </w:rPr>
        <w:t xml:space="preserve"> the Cathedral Room</w:t>
      </w:r>
      <w:r w:rsidR="00E41C20">
        <w:rPr>
          <w:sz w:val="22"/>
          <w:szCs w:val="22"/>
        </w:rPr>
        <w:t xml:space="preserve"> </w:t>
      </w:r>
      <w:r w:rsidR="00EB42EE">
        <w:rPr>
          <w:sz w:val="22"/>
          <w:szCs w:val="22"/>
        </w:rPr>
        <w:t xml:space="preserve">use </w:t>
      </w:r>
      <w:r w:rsidR="00384E8F">
        <w:rPr>
          <w:sz w:val="22"/>
          <w:szCs w:val="22"/>
        </w:rPr>
        <w:t xml:space="preserve">and </w:t>
      </w:r>
      <w:r w:rsidR="00EB42EE">
        <w:rPr>
          <w:sz w:val="22"/>
          <w:szCs w:val="22"/>
        </w:rPr>
        <w:t xml:space="preserve">that of </w:t>
      </w:r>
      <w:r w:rsidR="00443D26">
        <w:rPr>
          <w:sz w:val="22"/>
          <w:szCs w:val="22"/>
        </w:rPr>
        <w:t xml:space="preserve">the </w:t>
      </w:r>
      <w:r w:rsidR="00384E8F">
        <w:rPr>
          <w:sz w:val="22"/>
          <w:szCs w:val="22"/>
        </w:rPr>
        <w:t xml:space="preserve">adjoining </w:t>
      </w:r>
      <w:r w:rsidR="00EB42EE">
        <w:rPr>
          <w:sz w:val="22"/>
          <w:szCs w:val="22"/>
        </w:rPr>
        <w:t xml:space="preserve">outdoor </w:t>
      </w:r>
      <w:r w:rsidR="00384E8F">
        <w:rPr>
          <w:sz w:val="22"/>
          <w:szCs w:val="22"/>
        </w:rPr>
        <w:t xml:space="preserve">spaces </w:t>
      </w:r>
      <w:r w:rsidR="00EB42EE">
        <w:rPr>
          <w:sz w:val="22"/>
          <w:szCs w:val="22"/>
        </w:rPr>
        <w:t>to the north</w:t>
      </w:r>
      <w:r w:rsidR="00384E8F">
        <w:rPr>
          <w:sz w:val="22"/>
          <w:szCs w:val="22"/>
        </w:rPr>
        <w:t xml:space="preserve"> </w:t>
      </w:r>
      <w:r w:rsidR="00EB42EE">
        <w:rPr>
          <w:sz w:val="22"/>
          <w:szCs w:val="22"/>
        </w:rPr>
        <w:t>could</w:t>
      </w:r>
      <w:r w:rsidR="004C758D">
        <w:rPr>
          <w:sz w:val="22"/>
          <w:szCs w:val="22"/>
        </w:rPr>
        <w:t xml:space="preserve"> not </w:t>
      </w:r>
      <w:r w:rsidR="00EB42EE">
        <w:rPr>
          <w:sz w:val="22"/>
          <w:szCs w:val="22"/>
        </w:rPr>
        <w:t xml:space="preserve">be said to </w:t>
      </w:r>
      <w:r w:rsidR="004C758D">
        <w:rPr>
          <w:sz w:val="22"/>
          <w:szCs w:val="22"/>
        </w:rPr>
        <w:t>outweigh</w:t>
      </w:r>
      <w:r w:rsidR="009E415A">
        <w:rPr>
          <w:sz w:val="22"/>
          <w:szCs w:val="22"/>
        </w:rPr>
        <w:t xml:space="preserve"> the detrimental impacts on the </w:t>
      </w:r>
      <w:r w:rsidR="00E7149B">
        <w:rPr>
          <w:sz w:val="22"/>
          <w:szCs w:val="22"/>
        </w:rPr>
        <w:t>cultural heritage significance of the Place</w:t>
      </w:r>
      <w:r w:rsidR="00FB67D9">
        <w:rPr>
          <w:sz w:val="22"/>
          <w:szCs w:val="22"/>
        </w:rPr>
        <w:t>.</w:t>
      </w:r>
      <w:r w:rsidR="00443D26">
        <w:rPr>
          <w:sz w:val="22"/>
          <w:szCs w:val="22"/>
        </w:rPr>
        <w:t xml:space="preserve"> It was submitted that the reliance placed by the </w:t>
      </w:r>
      <w:r w:rsidR="00420617">
        <w:rPr>
          <w:sz w:val="22"/>
          <w:szCs w:val="22"/>
        </w:rPr>
        <w:t>P</w:t>
      </w:r>
      <w:r w:rsidR="00443D26">
        <w:rPr>
          <w:sz w:val="22"/>
          <w:szCs w:val="22"/>
        </w:rPr>
        <w:t>ermit Applicant on urban design intents for the Place were not appropriate matters for consideration under section 108(8) and in turn section 101(2).</w:t>
      </w:r>
      <w:r w:rsidR="00FB67D9">
        <w:rPr>
          <w:sz w:val="22"/>
          <w:szCs w:val="22"/>
        </w:rPr>
        <w:t xml:space="preserve"> It was further said </w:t>
      </w:r>
      <w:r w:rsidR="00E7149B">
        <w:rPr>
          <w:sz w:val="22"/>
          <w:szCs w:val="22"/>
        </w:rPr>
        <w:t xml:space="preserve">that </w:t>
      </w:r>
      <w:r w:rsidR="00F20A3D">
        <w:rPr>
          <w:sz w:val="22"/>
          <w:szCs w:val="22"/>
        </w:rPr>
        <w:t xml:space="preserve">Condition 2 </w:t>
      </w:r>
      <w:r w:rsidR="00FB67D9">
        <w:rPr>
          <w:sz w:val="22"/>
          <w:szCs w:val="22"/>
        </w:rPr>
        <w:t xml:space="preserve">would </w:t>
      </w:r>
      <w:r w:rsidR="00F20A3D">
        <w:rPr>
          <w:sz w:val="22"/>
          <w:szCs w:val="22"/>
        </w:rPr>
        <w:t>not impair the abilit</w:t>
      </w:r>
      <w:r w:rsidR="000B5A47">
        <w:rPr>
          <w:sz w:val="22"/>
          <w:szCs w:val="22"/>
        </w:rPr>
        <w:t>y</w:t>
      </w:r>
      <w:r w:rsidR="00F20A3D">
        <w:rPr>
          <w:sz w:val="22"/>
          <w:szCs w:val="22"/>
        </w:rPr>
        <w:t xml:space="preserve"> </w:t>
      </w:r>
      <w:r w:rsidR="00EA2055">
        <w:rPr>
          <w:sz w:val="22"/>
          <w:szCs w:val="22"/>
        </w:rPr>
        <w:t xml:space="preserve">to use the Place </w:t>
      </w:r>
      <w:r w:rsidR="002D0702">
        <w:rPr>
          <w:sz w:val="22"/>
          <w:szCs w:val="22"/>
        </w:rPr>
        <w:t xml:space="preserve">for its </w:t>
      </w:r>
      <w:r w:rsidR="00F0630A">
        <w:rPr>
          <w:sz w:val="22"/>
          <w:szCs w:val="22"/>
        </w:rPr>
        <w:t>currently permitted</w:t>
      </w:r>
      <w:r w:rsidR="00895210">
        <w:rPr>
          <w:sz w:val="22"/>
          <w:szCs w:val="22"/>
        </w:rPr>
        <w:t>, reasonable</w:t>
      </w:r>
      <w:r w:rsidR="00F0630A">
        <w:rPr>
          <w:sz w:val="22"/>
          <w:szCs w:val="22"/>
        </w:rPr>
        <w:t xml:space="preserve"> </w:t>
      </w:r>
      <w:r w:rsidR="000B5A47">
        <w:rPr>
          <w:sz w:val="22"/>
          <w:szCs w:val="22"/>
        </w:rPr>
        <w:t xml:space="preserve">and commercially viable </w:t>
      </w:r>
      <w:r w:rsidR="00F0630A">
        <w:rPr>
          <w:sz w:val="22"/>
          <w:szCs w:val="22"/>
        </w:rPr>
        <w:t>use</w:t>
      </w:r>
      <w:r w:rsidR="00242DAA">
        <w:rPr>
          <w:sz w:val="22"/>
          <w:szCs w:val="22"/>
        </w:rPr>
        <w:t>.</w:t>
      </w:r>
    </w:p>
    <w:p w14:paraId="502D3567" w14:textId="22E5C856" w:rsidR="00C40DBD" w:rsidRDefault="00DF7A8E" w:rsidP="000411B7">
      <w:pPr>
        <w:pStyle w:val="BP2"/>
        <w:numPr>
          <w:ilvl w:val="0"/>
          <w:numId w:val="3"/>
        </w:numPr>
        <w:tabs>
          <w:tab w:val="clear" w:pos="432"/>
          <w:tab w:val="left" w:pos="567"/>
        </w:tabs>
        <w:ind w:left="567" w:hanging="567"/>
        <w:rPr>
          <w:sz w:val="22"/>
          <w:szCs w:val="22"/>
        </w:rPr>
      </w:pPr>
      <w:r>
        <w:rPr>
          <w:sz w:val="22"/>
          <w:szCs w:val="22"/>
        </w:rPr>
        <w:t>The Permit Applicant submitted that</w:t>
      </w:r>
      <w:r w:rsidR="00795A12">
        <w:rPr>
          <w:sz w:val="22"/>
          <w:szCs w:val="22"/>
        </w:rPr>
        <w:t>,</w:t>
      </w:r>
      <w:r>
        <w:rPr>
          <w:sz w:val="22"/>
          <w:szCs w:val="22"/>
        </w:rPr>
        <w:t xml:space="preserve"> </w:t>
      </w:r>
      <w:r w:rsidR="00820B76">
        <w:rPr>
          <w:sz w:val="22"/>
          <w:szCs w:val="22"/>
        </w:rPr>
        <w:t xml:space="preserve">if Condition 2 were to be upheld and the proposed </w:t>
      </w:r>
      <w:r w:rsidR="00FB67D9">
        <w:rPr>
          <w:sz w:val="22"/>
          <w:szCs w:val="22"/>
        </w:rPr>
        <w:t xml:space="preserve">door </w:t>
      </w:r>
      <w:r w:rsidR="00820B76">
        <w:rPr>
          <w:sz w:val="22"/>
          <w:szCs w:val="22"/>
        </w:rPr>
        <w:t>not permitted</w:t>
      </w:r>
      <w:r w:rsidR="00795A12">
        <w:rPr>
          <w:sz w:val="22"/>
          <w:szCs w:val="22"/>
        </w:rPr>
        <w:t xml:space="preserve">, </w:t>
      </w:r>
      <w:r w:rsidR="003245AD">
        <w:rPr>
          <w:sz w:val="22"/>
          <w:szCs w:val="22"/>
        </w:rPr>
        <w:t xml:space="preserve">it </w:t>
      </w:r>
      <w:r w:rsidR="00F00832">
        <w:rPr>
          <w:sz w:val="22"/>
          <w:szCs w:val="22"/>
        </w:rPr>
        <w:t>would significantly impact on the reasonable use of the Place.</w:t>
      </w:r>
      <w:r w:rsidR="008B435C">
        <w:rPr>
          <w:sz w:val="22"/>
          <w:szCs w:val="22"/>
        </w:rPr>
        <w:t xml:space="preserve"> </w:t>
      </w:r>
      <w:r w:rsidR="00F00832">
        <w:rPr>
          <w:sz w:val="22"/>
          <w:szCs w:val="22"/>
        </w:rPr>
        <w:t>R</w:t>
      </w:r>
      <w:r w:rsidR="006958BE">
        <w:rPr>
          <w:sz w:val="22"/>
          <w:szCs w:val="22"/>
        </w:rPr>
        <w:t>elying on the evidence of Ms Roberts,</w:t>
      </w:r>
      <w:r w:rsidR="006C0D41">
        <w:rPr>
          <w:sz w:val="22"/>
          <w:szCs w:val="22"/>
        </w:rPr>
        <w:t xml:space="preserve"> </w:t>
      </w:r>
      <w:r w:rsidR="00F00832">
        <w:rPr>
          <w:sz w:val="22"/>
          <w:szCs w:val="22"/>
        </w:rPr>
        <w:t xml:space="preserve">it was submitted </w:t>
      </w:r>
      <w:r w:rsidR="006C0D41">
        <w:rPr>
          <w:sz w:val="22"/>
          <w:szCs w:val="22"/>
        </w:rPr>
        <w:t xml:space="preserve">that the proposed </w:t>
      </w:r>
      <w:r w:rsidR="00F00832">
        <w:rPr>
          <w:sz w:val="22"/>
          <w:szCs w:val="22"/>
        </w:rPr>
        <w:t>doorway was</w:t>
      </w:r>
      <w:r w:rsidR="006C0D41">
        <w:rPr>
          <w:sz w:val="22"/>
          <w:szCs w:val="22"/>
        </w:rPr>
        <w:t xml:space="preserve"> a reasonable intervention to ‘activate’ the </w:t>
      </w:r>
      <w:r w:rsidR="00420029">
        <w:rPr>
          <w:sz w:val="22"/>
          <w:szCs w:val="22"/>
        </w:rPr>
        <w:t>spaces in and around the Cathedral Room</w:t>
      </w:r>
      <w:r w:rsidR="00A32020">
        <w:rPr>
          <w:sz w:val="22"/>
          <w:szCs w:val="22"/>
        </w:rPr>
        <w:t xml:space="preserve"> </w:t>
      </w:r>
      <w:r w:rsidR="00F00832">
        <w:rPr>
          <w:sz w:val="22"/>
          <w:szCs w:val="22"/>
        </w:rPr>
        <w:t xml:space="preserve">and </w:t>
      </w:r>
      <w:r w:rsidR="00B2315B">
        <w:rPr>
          <w:sz w:val="22"/>
          <w:szCs w:val="22"/>
        </w:rPr>
        <w:t xml:space="preserve">proposed </w:t>
      </w:r>
      <w:r w:rsidR="00F00832">
        <w:rPr>
          <w:sz w:val="22"/>
          <w:szCs w:val="22"/>
        </w:rPr>
        <w:t xml:space="preserve">Cathedral Court </w:t>
      </w:r>
      <w:r w:rsidR="000E4451">
        <w:rPr>
          <w:sz w:val="22"/>
          <w:szCs w:val="22"/>
        </w:rPr>
        <w:t xml:space="preserve">to its north </w:t>
      </w:r>
      <w:r w:rsidR="00A32020">
        <w:rPr>
          <w:sz w:val="22"/>
          <w:szCs w:val="22"/>
        </w:rPr>
        <w:t>as part of the</w:t>
      </w:r>
      <w:r w:rsidR="00B560D5">
        <w:rPr>
          <w:sz w:val="22"/>
          <w:szCs w:val="22"/>
        </w:rPr>
        <w:t xml:space="preserve"> proposed and</w:t>
      </w:r>
      <w:r w:rsidR="00A32020">
        <w:rPr>
          <w:sz w:val="22"/>
          <w:szCs w:val="22"/>
        </w:rPr>
        <w:t xml:space="preserve"> permitted reasonable use</w:t>
      </w:r>
      <w:r w:rsidR="00F93ADC">
        <w:rPr>
          <w:sz w:val="22"/>
          <w:szCs w:val="22"/>
        </w:rPr>
        <w:t>,</w:t>
      </w:r>
      <w:r w:rsidR="00A32020">
        <w:rPr>
          <w:sz w:val="22"/>
          <w:szCs w:val="22"/>
        </w:rPr>
        <w:t xml:space="preserve"> </w:t>
      </w:r>
      <w:r w:rsidR="00F93ADC">
        <w:rPr>
          <w:sz w:val="22"/>
          <w:szCs w:val="22"/>
        </w:rPr>
        <w:t>that of</w:t>
      </w:r>
      <w:r w:rsidR="00A32020">
        <w:rPr>
          <w:sz w:val="22"/>
          <w:szCs w:val="22"/>
        </w:rPr>
        <w:t xml:space="preserve"> a food and beverage business.</w:t>
      </w:r>
      <w:r w:rsidR="0015546E">
        <w:rPr>
          <w:sz w:val="22"/>
          <w:szCs w:val="22"/>
        </w:rPr>
        <w:t xml:space="preserve"> </w:t>
      </w:r>
      <w:r w:rsidR="003A058F">
        <w:rPr>
          <w:sz w:val="22"/>
          <w:szCs w:val="22"/>
        </w:rPr>
        <w:t>Ms Roberts gave evidence that she considered that the doorway was critical to engendering a sense of safety to the Cathedral Court area</w:t>
      </w:r>
      <w:r w:rsidR="00EB42EE">
        <w:rPr>
          <w:sz w:val="22"/>
          <w:szCs w:val="22"/>
        </w:rPr>
        <w:t>, encouraging people down Briscoe Lane,</w:t>
      </w:r>
      <w:r w:rsidR="003A058F">
        <w:rPr>
          <w:sz w:val="22"/>
          <w:szCs w:val="22"/>
        </w:rPr>
        <w:t xml:space="preserve"> and would thereby support the economic viability of the small retail tenancy on the northern side of that court by encouraging usage of the outdoor space</w:t>
      </w:r>
      <w:r w:rsidR="00EB42EE">
        <w:rPr>
          <w:sz w:val="22"/>
          <w:szCs w:val="22"/>
        </w:rPr>
        <w:t xml:space="preserve"> via Briscoe Lane</w:t>
      </w:r>
      <w:r w:rsidR="003A058F">
        <w:rPr>
          <w:sz w:val="22"/>
          <w:szCs w:val="22"/>
        </w:rPr>
        <w:t xml:space="preserve">. </w:t>
      </w:r>
      <w:r w:rsidR="00022A6E">
        <w:rPr>
          <w:sz w:val="22"/>
          <w:szCs w:val="22"/>
        </w:rPr>
        <w:t xml:space="preserve">It was further submitted that the Executive Director had erroneously focused on whether the proposed use of the Place would be made impossible or economically unviable rather than considering the extent </w:t>
      </w:r>
      <w:r w:rsidR="00DC60E1">
        <w:rPr>
          <w:sz w:val="22"/>
          <w:szCs w:val="22"/>
        </w:rPr>
        <w:t>to which the refu</w:t>
      </w:r>
      <w:r w:rsidR="00F00832">
        <w:rPr>
          <w:sz w:val="22"/>
          <w:szCs w:val="22"/>
        </w:rPr>
        <w:t>s</w:t>
      </w:r>
      <w:r w:rsidR="00DC60E1">
        <w:rPr>
          <w:sz w:val="22"/>
          <w:szCs w:val="22"/>
        </w:rPr>
        <w:t>al of the doorway wou</w:t>
      </w:r>
      <w:r w:rsidR="00F00832">
        <w:rPr>
          <w:sz w:val="22"/>
          <w:szCs w:val="22"/>
        </w:rPr>
        <w:t>l</w:t>
      </w:r>
      <w:r w:rsidR="00DC60E1">
        <w:rPr>
          <w:sz w:val="22"/>
          <w:szCs w:val="22"/>
        </w:rPr>
        <w:t>d affect the reasonable use.</w:t>
      </w:r>
      <w:r w:rsidR="0014605C">
        <w:rPr>
          <w:sz w:val="22"/>
          <w:szCs w:val="22"/>
        </w:rPr>
        <w:t xml:space="preserve"> It was also submitted that the Executive Director was incorrect in submitting that urban design and planning considerations were not relevant to the consideration of this matter as</w:t>
      </w:r>
      <w:r w:rsidR="000F06D5">
        <w:rPr>
          <w:sz w:val="22"/>
          <w:szCs w:val="22"/>
        </w:rPr>
        <w:t>,</w:t>
      </w:r>
      <w:r w:rsidR="0014605C">
        <w:rPr>
          <w:sz w:val="22"/>
          <w:szCs w:val="22"/>
        </w:rPr>
        <w:t xml:space="preserve"> at the least</w:t>
      </w:r>
      <w:r w:rsidR="000F06D5">
        <w:rPr>
          <w:sz w:val="22"/>
          <w:szCs w:val="22"/>
        </w:rPr>
        <w:t>,</w:t>
      </w:r>
      <w:r w:rsidR="0014605C">
        <w:rPr>
          <w:sz w:val="22"/>
          <w:szCs w:val="22"/>
        </w:rPr>
        <w:t xml:space="preserve"> they influence the concept of reasonable use.</w:t>
      </w:r>
    </w:p>
    <w:p w14:paraId="4EB1E20A" w14:textId="3ABCD040" w:rsidR="006F2B4B" w:rsidRPr="003B0BB3" w:rsidRDefault="006F2B4B" w:rsidP="00DD5237">
      <w:pPr>
        <w:pStyle w:val="BP2"/>
        <w:keepNext/>
        <w:spacing w:before="240" w:after="240"/>
        <w:jc w:val="both"/>
        <w:rPr>
          <w:bCs/>
          <w:i/>
          <w:spacing w:val="-1"/>
          <w:sz w:val="22"/>
          <w:szCs w:val="22"/>
        </w:rPr>
      </w:pPr>
      <w:r w:rsidRPr="003B0BB3">
        <w:rPr>
          <w:bCs/>
          <w:i/>
          <w:spacing w:val="-1"/>
          <w:sz w:val="22"/>
          <w:szCs w:val="22"/>
        </w:rPr>
        <w:t>Discussion and conclus</w:t>
      </w:r>
      <w:r w:rsidR="000118B6" w:rsidRPr="003B0BB3">
        <w:rPr>
          <w:bCs/>
          <w:i/>
          <w:spacing w:val="-1"/>
          <w:sz w:val="22"/>
          <w:szCs w:val="22"/>
        </w:rPr>
        <w:t>i</w:t>
      </w:r>
      <w:r w:rsidRPr="003B0BB3">
        <w:rPr>
          <w:bCs/>
          <w:i/>
          <w:spacing w:val="-1"/>
          <w:sz w:val="22"/>
          <w:szCs w:val="22"/>
        </w:rPr>
        <w:t>on</w:t>
      </w:r>
    </w:p>
    <w:p w14:paraId="68F1592B" w14:textId="77777777" w:rsidR="00B2315B" w:rsidRDefault="00F606DA" w:rsidP="000411B7">
      <w:pPr>
        <w:pStyle w:val="BP2"/>
        <w:numPr>
          <w:ilvl w:val="0"/>
          <w:numId w:val="3"/>
        </w:numPr>
        <w:tabs>
          <w:tab w:val="clear" w:pos="432"/>
          <w:tab w:val="left" w:pos="709"/>
        </w:tabs>
        <w:ind w:left="567" w:hanging="567"/>
        <w:rPr>
          <w:sz w:val="22"/>
          <w:szCs w:val="22"/>
        </w:rPr>
      </w:pPr>
      <w:r>
        <w:rPr>
          <w:sz w:val="22"/>
          <w:szCs w:val="22"/>
        </w:rPr>
        <w:t xml:space="preserve">In relation to </w:t>
      </w:r>
      <w:r w:rsidR="0082512B">
        <w:rPr>
          <w:sz w:val="22"/>
          <w:szCs w:val="22"/>
        </w:rPr>
        <w:t>its consideration of the</w:t>
      </w:r>
      <w:r>
        <w:rPr>
          <w:sz w:val="22"/>
          <w:szCs w:val="22"/>
        </w:rPr>
        <w:t xml:space="preserve"> </w:t>
      </w:r>
      <w:r w:rsidR="0082512B">
        <w:rPr>
          <w:sz w:val="22"/>
          <w:szCs w:val="22"/>
        </w:rPr>
        <w:t>r</w:t>
      </w:r>
      <w:r>
        <w:rPr>
          <w:sz w:val="22"/>
          <w:szCs w:val="22"/>
        </w:rPr>
        <w:t>easo</w:t>
      </w:r>
      <w:r w:rsidR="00E11435">
        <w:rPr>
          <w:sz w:val="22"/>
          <w:szCs w:val="22"/>
        </w:rPr>
        <w:t>na</w:t>
      </w:r>
      <w:r w:rsidR="005C3A75">
        <w:rPr>
          <w:sz w:val="22"/>
          <w:szCs w:val="22"/>
        </w:rPr>
        <w:t>b</w:t>
      </w:r>
      <w:r>
        <w:rPr>
          <w:sz w:val="22"/>
          <w:szCs w:val="22"/>
        </w:rPr>
        <w:t>le and economic use of the Place,</w:t>
      </w:r>
      <w:r w:rsidR="0082512B">
        <w:rPr>
          <w:sz w:val="22"/>
          <w:szCs w:val="22"/>
        </w:rPr>
        <w:t xml:space="preserve"> t</w:t>
      </w:r>
      <w:r w:rsidR="00816A28">
        <w:rPr>
          <w:sz w:val="22"/>
          <w:szCs w:val="22"/>
        </w:rPr>
        <w:t>he Committee</w:t>
      </w:r>
      <w:r w:rsidR="0082512B">
        <w:rPr>
          <w:sz w:val="22"/>
          <w:szCs w:val="22"/>
        </w:rPr>
        <w:t xml:space="preserve"> notes that the relevant question</w:t>
      </w:r>
      <w:r w:rsidR="00681EF8">
        <w:rPr>
          <w:sz w:val="22"/>
          <w:szCs w:val="22"/>
        </w:rPr>
        <w:t xml:space="preserve"> for the </w:t>
      </w:r>
      <w:r w:rsidR="003A058F">
        <w:rPr>
          <w:sz w:val="22"/>
          <w:szCs w:val="22"/>
        </w:rPr>
        <w:t>r</w:t>
      </w:r>
      <w:r w:rsidR="00681EF8">
        <w:rPr>
          <w:sz w:val="22"/>
          <w:szCs w:val="22"/>
        </w:rPr>
        <w:t>eview</w:t>
      </w:r>
      <w:r w:rsidR="0082512B">
        <w:rPr>
          <w:sz w:val="22"/>
          <w:szCs w:val="22"/>
        </w:rPr>
        <w:t xml:space="preserve"> is the</w:t>
      </w:r>
      <w:r w:rsidR="00640791" w:rsidRPr="00640791">
        <w:rPr>
          <w:sz w:val="22"/>
          <w:szCs w:val="22"/>
        </w:rPr>
        <w:t xml:space="preserve"> extent to which </w:t>
      </w:r>
      <w:r w:rsidR="003A058F">
        <w:rPr>
          <w:sz w:val="22"/>
          <w:szCs w:val="22"/>
        </w:rPr>
        <w:t>the refusal of the northern doorway</w:t>
      </w:r>
      <w:r w:rsidR="00640791" w:rsidRPr="00640791">
        <w:rPr>
          <w:sz w:val="22"/>
          <w:szCs w:val="22"/>
        </w:rPr>
        <w:t xml:space="preserve"> would affect the reasonable or economic use of the </w:t>
      </w:r>
      <w:r w:rsidR="00681EF8">
        <w:rPr>
          <w:sz w:val="22"/>
          <w:szCs w:val="22"/>
        </w:rPr>
        <w:t>Place</w:t>
      </w:r>
      <w:r w:rsidR="004D5B02">
        <w:rPr>
          <w:sz w:val="22"/>
          <w:szCs w:val="22"/>
        </w:rPr>
        <w:t xml:space="preserve"> as a whole</w:t>
      </w:r>
      <w:r w:rsidR="007C21D8" w:rsidRPr="00A73E82">
        <w:rPr>
          <w:sz w:val="22"/>
          <w:szCs w:val="22"/>
        </w:rPr>
        <w:t>.</w:t>
      </w:r>
      <w:r w:rsidR="00681EF8">
        <w:rPr>
          <w:sz w:val="22"/>
          <w:szCs w:val="22"/>
        </w:rPr>
        <w:t xml:space="preserve"> </w:t>
      </w:r>
      <w:r w:rsidR="003A058F">
        <w:rPr>
          <w:sz w:val="22"/>
          <w:szCs w:val="22"/>
        </w:rPr>
        <w:t>The focus in the submissions and evidence was on the effect on the reasonable use rather than any detailed economic impact analysis. The Committee regards this as adequate in this case.</w:t>
      </w:r>
    </w:p>
    <w:p w14:paraId="27CCA862" w14:textId="1F6FBAC5" w:rsidR="007B52C7" w:rsidRDefault="00B2315B" w:rsidP="000411B7">
      <w:pPr>
        <w:pStyle w:val="BP2"/>
        <w:numPr>
          <w:ilvl w:val="0"/>
          <w:numId w:val="3"/>
        </w:numPr>
        <w:tabs>
          <w:tab w:val="clear" w:pos="432"/>
          <w:tab w:val="left" w:pos="709"/>
        </w:tabs>
        <w:ind w:left="567" w:hanging="567"/>
        <w:rPr>
          <w:sz w:val="22"/>
          <w:szCs w:val="22"/>
        </w:rPr>
      </w:pPr>
      <w:r>
        <w:rPr>
          <w:sz w:val="22"/>
          <w:szCs w:val="22"/>
          <w:lang w:val="en-AU"/>
        </w:rPr>
        <w:lastRenderedPageBreak/>
        <w:t xml:space="preserve">In considering the reasonable use of the Place, the Committee turned </w:t>
      </w:r>
      <w:r w:rsidR="008901E6">
        <w:rPr>
          <w:sz w:val="22"/>
          <w:szCs w:val="22"/>
          <w:lang w:val="en-AU"/>
        </w:rPr>
        <w:t>its</w:t>
      </w:r>
      <w:r>
        <w:rPr>
          <w:sz w:val="22"/>
          <w:szCs w:val="22"/>
          <w:lang w:val="en-AU"/>
        </w:rPr>
        <w:t xml:space="preserve"> mind to the extent of the Place that was pertinent to this consideration. While the Executive Director’s submission focused on the impacts to the building fabric recognised as significant in the Extent of Registration, the extent also includes ‘</w:t>
      </w:r>
      <w:r w:rsidRPr="00635383">
        <w:rPr>
          <w:sz w:val="22"/>
          <w:szCs w:val="22"/>
          <w:lang w:val="en-AU"/>
        </w:rPr>
        <w:t>All the land marked L1 on Diagram 601914</w:t>
      </w:r>
      <w:r>
        <w:rPr>
          <w:sz w:val="22"/>
          <w:szCs w:val="22"/>
          <w:lang w:val="en-AU"/>
        </w:rPr>
        <w:t>’ (this being the entire ANZ complex bounded by Collins, Queen and Little Collins Street and including the 1990s tower). The Committee considered this broader area to be the correct extent of the Place in its deliberations.</w:t>
      </w:r>
      <w:r w:rsidR="003A058F">
        <w:rPr>
          <w:sz w:val="22"/>
          <w:szCs w:val="22"/>
        </w:rPr>
        <w:t xml:space="preserve"> </w:t>
      </w:r>
    </w:p>
    <w:p w14:paraId="502261BE" w14:textId="284C2CE1" w:rsidR="00586E99" w:rsidRPr="00E6411A" w:rsidRDefault="00874936" w:rsidP="00586E99">
      <w:pPr>
        <w:pStyle w:val="BP2"/>
        <w:numPr>
          <w:ilvl w:val="0"/>
          <w:numId w:val="3"/>
        </w:numPr>
        <w:tabs>
          <w:tab w:val="clear" w:pos="432"/>
          <w:tab w:val="left" w:pos="709"/>
        </w:tabs>
        <w:ind w:left="567" w:hanging="567"/>
        <w:rPr>
          <w:sz w:val="22"/>
          <w:szCs w:val="22"/>
        </w:rPr>
      </w:pPr>
      <w:r w:rsidRPr="00E6411A">
        <w:rPr>
          <w:sz w:val="22"/>
          <w:szCs w:val="22"/>
        </w:rPr>
        <w:t xml:space="preserve">The Committee </w:t>
      </w:r>
      <w:r w:rsidR="005741D2">
        <w:rPr>
          <w:sz w:val="22"/>
          <w:szCs w:val="22"/>
        </w:rPr>
        <w:t>records that it found</w:t>
      </w:r>
      <w:r w:rsidR="00586E99">
        <w:rPr>
          <w:sz w:val="22"/>
          <w:szCs w:val="22"/>
        </w:rPr>
        <w:t xml:space="preserve"> the urban design evidence called by the Permit Applicant pertinent to its consideration of the reasonable use of the Place. The Committee found Ms Roberts’ evidence informative about the proposed movement arrangements through the Place and persuasive as to the considerable impact </w:t>
      </w:r>
      <w:r w:rsidR="00EB42EE">
        <w:rPr>
          <w:sz w:val="22"/>
          <w:szCs w:val="22"/>
        </w:rPr>
        <w:t xml:space="preserve">that refusal of the doorway would have </w:t>
      </w:r>
      <w:r w:rsidR="00586E99">
        <w:rPr>
          <w:sz w:val="22"/>
          <w:szCs w:val="22"/>
        </w:rPr>
        <w:t xml:space="preserve">on the activation of </w:t>
      </w:r>
      <w:r w:rsidR="001D27EC">
        <w:rPr>
          <w:sz w:val="22"/>
          <w:szCs w:val="22"/>
        </w:rPr>
        <w:t>the</w:t>
      </w:r>
      <w:r w:rsidR="00586E99">
        <w:rPr>
          <w:sz w:val="22"/>
          <w:szCs w:val="22"/>
        </w:rPr>
        <w:t xml:space="preserve"> proposed network of spaces and accessways. The</w:t>
      </w:r>
      <w:r w:rsidR="00EE5C9E">
        <w:rPr>
          <w:sz w:val="22"/>
          <w:szCs w:val="22"/>
        </w:rPr>
        <w:t xml:space="preserve"> Committee was persuaded that </w:t>
      </w:r>
      <w:r w:rsidR="00586E99">
        <w:rPr>
          <w:sz w:val="22"/>
          <w:szCs w:val="22"/>
        </w:rPr>
        <w:t xml:space="preserve">the doorway would result in an improved sense of personal security and an improved pedestrian experience in the </w:t>
      </w:r>
      <w:r w:rsidR="001D27EC">
        <w:rPr>
          <w:sz w:val="22"/>
          <w:szCs w:val="22"/>
        </w:rPr>
        <w:t>exterior spaces north of the Cathedral Room</w:t>
      </w:r>
      <w:r w:rsidR="00EB42EE">
        <w:rPr>
          <w:sz w:val="22"/>
          <w:szCs w:val="22"/>
        </w:rPr>
        <w:t xml:space="preserve"> leading from Briscoe Lane</w:t>
      </w:r>
      <w:r w:rsidR="00B2315B">
        <w:rPr>
          <w:sz w:val="22"/>
          <w:szCs w:val="22"/>
        </w:rPr>
        <w:t>. The Committee</w:t>
      </w:r>
      <w:r w:rsidR="00B2315B">
        <w:rPr>
          <w:sz w:val="22"/>
          <w:szCs w:val="22"/>
          <w:lang w:val="en-AU"/>
        </w:rPr>
        <w:t xml:space="preserve"> </w:t>
      </w:r>
      <w:r w:rsidR="00207593">
        <w:rPr>
          <w:sz w:val="22"/>
          <w:szCs w:val="22"/>
          <w:lang w:val="en-AU"/>
        </w:rPr>
        <w:t xml:space="preserve">was </w:t>
      </w:r>
      <w:r w:rsidR="00B2315B">
        <w:rPr>
          <w:sz w:val="22"/>
          <w:szCs w:val="22"/>
          <w:lang w:val="en-AU"/>
        </w:rPr>
        <w:t>also persuaded that this depends in part on having some area of glazing in the new doors, to allow for ‘light spill’ into Cathedral Court signalling the nearby presence of other people.</w:t>
      </w:r>
      <w:r w:rsidR="00207593">
        <w:rPr>
          <w:sz w:val="22"/>
          <w:szCs w:val="22"/>
          <w:lang w:val="en-AU"/>
        </w:rPr>
        <w:t xml:space="preserve"> </w:t>
      </w:r>
      <w:r w:rsidR="00586E99">
        <w:rPr>
          <w:sz w:val="22"/>
          <w:szCs w:val="22"/>
        </w:rPr>
        <w:t xml:space="preserve">This together with </w:t>
      </w:r>
      <w:r w:rsidR="001D27EC">
        <w:rPr>
          <w:sz w:val="22"/>
          <w:szCs w:val="22"/>
        </w:rPr>
        <w:t xml:space="preserve">the extension of a system of </w:t>
      </w:r>
      <w:r w:rsidR="00586E99">
        <w:rPr>
          <w:sz w:val="22"/>
          <w:szCs w:val="22"/>
        </w:rPr>
        <w:t xml:space="preserve">linked lighting along </w:t>
      </w:r>
      <w:r w:rsidR="0082374F">
        <w:rPr>
          <w:sz w:val="22"/>
          <w:szCs w:val="22"/>
        </w:rPr>
        <w:t>Briscoe Lane</w:t>
      </w:r>
      <w:r w:rsidR="00586E99">
        <w:rPr>
          <w:sz w:val="22"/>
          <w:szCs w:val="22"/>
        </w:rPr>
        <w:t xml:space="preserve"> leading to Little Collins Street </w:t>
      </w:r>
      <w:r w:rsidR="001D27EC">
        <w:rPr>
          <w:sz w:val="22"/>
          <w:szCs w:val="22"/>
        </w:rPr>
        <w:t xml:space="preserve">should assist in attracting movement through the Place. This in turn has benefits in terms of public exposure </w:t>
      </w:r>
      <w:r w:rsidR="000E4451">
        <w:rPr>
          <w:sz w:val="22"/>
          <w:szCs w:val="22"/>
        </w:rPr>
        <w:t>of</w:t>
      </w:r>
      <w:r w:rsidR="001D27EC">
        <w:rPr>
          <w:sz w:val="22"/>
          <w:szCs w:val="22"/>
        </w:rPr>
        <w:t xml:space="preserve"> the special heritage qualities of the Cathedral Room and other parts of the Place</w:t>
      </w:r>
      <w:r w:rsidR="00207593">
        <w:rPr>
          <w:sz w:val="22"/>
          <w:szCs w:val="22"/>
        </w:rPr>
        <w:t>.</w:t>
      </w:r>
      <w:r w:rsidR="001D27EC">
        <w:rPr>
          <w:sz w:val="22"/>
          <w:szCs w:val="22"/>
        </w:rPr>
        <w:t xml:space="preserve">  </w:t>
      </w:r>
    </w:p>
    <w:p w14:paraId="2E6F9EB9" w14:textId="0ED427AA" w:rsidR="00835686" w:rsidRDefault="0056046B" w:rsidP="00B2315B">
      <w:pPr>
        <w:pStyle w:val="BP2"/>
        <w:numPr>
          <w:ilvl w:val="0"/>
          <w:numId w:val="3"/>
        </w:numPr>
        <w:tabs>
          <w:tab w:val="clear" w:pos="432"/>
          <w:tab w:val="left" w:pos="709"/>
        </w:tabs>
        <w:ind w:left="567" w:hanging="567"/>
        <w:rPr>
          <w:sz w:val="22"/>
          <w:szCs w:val="22"/>
        </w:rPr>
      </w:pPr>
      <w:r w:rsidRPr="001D27EC">
        <w:rPr>
          <w:sz w:val="22"/>
          <w:szCs w:val="22"/>
        </w:rPr>
        <w:t xml:space="preserve">The Committee is </w:t>
      </w:r>
      <w:r w:rsidR="000E4451">
        <w:rPr>
          <w:sz w:val="22"/>
          <w:szCs w:val="22"/>
        </w:rPr>
        <w:t xml:space="preserve">also </w:t>
      </w:r>
      <w:r w:rsidRPr="001D27EC">
        <w:rPr>
          <w:sz w:val="22"/>
          <w:szCs w:val="22"/>
        </w:rPr>
        <w:t>of the view</w:t>
      </w:r>
      <w:r w:rsidR="005741D2">
        <w:rPr>
          <w:sz w:val="22"/>
          <w:szCs w:val="22"/>
        </w:rPr>
        <w:t xml:space="preserve"> </w:t>
      </w:r>
      <w:r w:rsidRPr="001D27EC">
        <w:rPr>
          <w:sz w:val="22"/>
          <w:szCs w:val="22"/>
        </w:rPr>
        <w:t>that</w:t>
      </w:r>
      <w:r w:rsidR="00B2315B">
        <w:rPr>
          <w:sz w:val="22"/>
          <w:szCs w:val="22"/>
        </w:rPr>
        <w:t xml:space="preserve"> </w:t>
      </w:r>
      <w:r w:rsidR="004A6D30" w:rsidRPr="001D27EC">
        <w:rPr>
          <w:sz w:val="22"/>
          <w:szCs w:val="22"/>
        </w:rPr>
        <w:t>the north</w:t>
      </w:r>
      <w:r w:rsidR="001D27EC">
        <w:rPr>
          <w:sz w:val="22"/>
          <w:szCs w:val="22"/>
        </w:rPr>
        <w:t>ern</w:t>
      </w:r>
      <w:r w:rsidR="004A6D30" w:rsidRPr="001D27EC">
        <w:rPr>
          <w:sz w:val="22"/>
          <w:szCs w:val="22"/>
        </w:rPr>
        <w:t xml:space="preserve"> wall is </w:t>
      </w:r>
      <w:r w:rsidR="001A6BDB" w:rsidRPr="001D27EC">
        <w:rPr>
          <w:sz w:val="22"/>
          <w:szCs w:val="22"/>
        </w:rPr>
        <w:t xml:space="preserve">the only wall </w:t>
      </w:r>
      <w:r w:rsidR="005741D2">
        <w:rPr>
          <w:sz w:val="22"/>
          <w:szCs w:val="22"/>
        </w:rPr>
        <w:t>of</w:t>
      </w:r>
      <w:r w:rsidR="005741D2" w:rsidRPr="001D27EC">
        <w:rPr>
          <w:sz w:val="22"/>
          <w:szCs w:val="22"/>
        </w:rPr>
        <w:t xml:space="preserve"> </w:t>
      </w:r>
      <w:r w:rsidR="00916CD0" w:rsidRPr="001D27EC">
        <w:rPr>
          <w:sz w:val="22"/>
          <w:szCs w:val="22"/>
        </w:rPr>
        <w:t xml:space="preserve">the </w:t>
      </w:r>
      <w:r w:rsidR="005741D2">
        <w:rPr>
          <w:sz w:val="22"/>
          <w:szCs w:val="22"/>
        </w:rPr>
        <w:t>r</w:t>
      </w:r>
      <w:r w:rsidR="00916CD0" w:rsidRPr="001D27EC">
        <w:rPr>
          <w:sz w:val="22"/>
          <w:szCs w:val="22"/>
        </w:rPr>
        <w:t xml:space="preserve">oom where the </w:t>
      </w:r>
      <w:r w:rsidR="008B05B9" w:rsidRPr="001D27EC">
        <w:rPr>
          <w:sz w:val="22"/>
          <w:szCs w:val="22"/>
        </w:rPr>
        <w:t>doorway</w:t>
      </w:r>
      <w:r w:rsidR="00992722" w:rsidRPr="001D27EC">
        <w:rPr>
          <w:sz w:val="22"/>
          <w:szCs w:val="22"/>
        </w:rPr>
        <w:t xml:space="preserve"> </w:t>
      </w:r>
      <w:r w:rsidR="005741D2">
        <w:rPr>
          <w:sz w:val="22"/>
          <w:szCs w:val="22"/>
        </w:rPr>
        <w:t>could feasibly be sited.</w:t>
      </w:r>
      <w:r w:rsidR="000E4451">
        <w:rPr>
          <w:sz w:val="22"/>
          <w:szCs w:val="22"/>
        </w:rPr>
        <w:t xml:space="preserve"> This view derives from the evidence given by Mr Dixon about the workings of the kitchen area for the restaurant and the location of exhaust fans</w:t>
      </w:r>
      <w:r w:rsidR="00392DA6">
        <w:rPr>
          <w:sz w:val="22"/>
          <w:szCs w:val="22"/>
        </w:rPr>
        <w:t xml:space="preserve"> and fresh air intake</w:t>
      </w:r>
      <w:r w:rsidR="00B2315B">
        <w:rPr>
          <w:sz w:val="22"/>
          <w:szCs w:val="22"/>
        </w:rPr>
        <w:t xml:space="preserve">, </w:t>
      </w:r>
      <w:r w:rsidR="00B2315B">
        <w:rPr>
          <w:sz w:val="22"/>
          <w:szCs w:val="22"/>
          <w:lang w:val="en-AU"/>
        </w:rPr>
        <w:t xml:space="preserve">as well as </w:t>
      </w:r>
      <w:r w:rsidR="00B97E25">
        <w:rPr>
          <w:sz w:val="22"/>
          <w:szCs w:val="22"/>
          <w:lang w:val="en-AU"/>
        </w:rPr>
        <w:t>its being the only</w:t>
      </w:r>
      <w:r w:rsidR="00B2315B">
        <w:rPr>
          <w:sz w:val="22"/>
          <w:szCs w:val="22"/>
          <w:lang w:val="en-AU"/>
        </w:rPr>
        <w:t xml:space="preserve"> wall allowing the light spill </w:t>
      </w:r>
      <w:r w:rsidR="00B97E25">
        <w:rPr>
          <w:sz w:val="22"/>
          <w:szCs w:val="22"/>
          <w:lang w:val="en-AU"/>
        </w:rPr>
        <w:t>to Cathedral Court necessary to engender a sense of personal safety.</w:t>
      </w:r>
    </w:p>
    <w:p w14:paraId="4D1A6457" w14:textId="365F8C95" w:rsidR="000E4451" w:rsidRPr="001D27EC" w:rsidRDefault="000E4451">
      <w:pPr>
        <w:pStyle w:val="BP2"/>
        <w:numPr>
          <w:ilvl w:val="0"/>
          <w:numId w:val="3"/>
        </w:numPr>
        <w:tabs>
          <w:tab w:val="clear" w:pos="432"/>
          <w:tab w:val="left" w:pos="709"/>
        </w:tabs>
        <w:ind w:left="567" w:hanging="567"/>
        <w:rPr>
          <w:sz w:val="22"/>
          <w:szCs w:val="22"/>
        </w:rPr>
      </w:pPr>
      <w:r>
        <w:rPr>
          <w:sz w:val="22"/>
          <w:szCs w:val="22"/>
        </w:rPr>
        <w:t>The Committee accepts that the proposed doorway would have some but not substantial benefits in terms of light to the Cathedral Room. The Committee also considers that there would be minor improvement to fire egress arrangements.</w:t>
      </w:r>
    </w:p>
    <w:p w14:paraId="483DA14E" w14:textId="7C02651E" w:rsidR="006C4465" w:rsidRDefault="007B118F" w:rsidP="000411B7">
      <w:pPr>
        <w:pStyle w:val="BP2"/>
        <w:numPr>
          <w:ilvl w:val="0"/>
          <w:numId w:val="3"/>
        </w:numPr>
        <w:tabs>
          <w:tab w:val="clear" w:pos="432"/>
          <w:tab w:val="left" w:pos="709"/>
        </w:tabs>
        <w:ind w:left="567" w:hanging="567"/>
        <w:rPr>
          <w:sz w:val="22"/>
          <w:szCs w:val="22"/>
        </w:rPr>
      </w:pPr>
      <w:r>
        <w:rPr>
          <w:sz w:val="22"/>
          <w:szCs w:val="22"/>
        </w:rPr>
        <w:t>The Committee determines that</w:t>
      </w:r>
      <w:r w:rsidR="00446FBE">
        <w:rPr>
          <w:sz w:val="22"/>
          <w:szCs w:val="22"/>
        </w:rPr>
        <w:t xml:space="preserve"> </w:t>
      </w:r>
      <w:r w:rsidR="008A223C">
        <w:rPr>
          <w:sz w:val="22"/>
          <w:szCs w:val="22"/>
        </w:rPr>
        <w:t xml:space="preserve">the extent to which the cultural heritage significance of the Place would </w:t>
      </w:r>
      <w:r w:rsidR="0085260F">
        <w:rPr>
          <w:sz w:val="22"/>
          <w:szCs w:val="22"/>
        </w:rPr>
        <w:t xml:space="preserve">be negatively affected by the </w:t>
      </w:r>
      <w:r w:rsidR="00DE1BBC">
        <w:rPr>
          <w:sz w:val="22"/>
          <w:szCs w:val="22"/>
        </w:rPr>
        <w:t xml:space="preserve">proposed </w:t>
      </w:r>
      <w:r w:rsidR="000E4451">
        <w:rPr>
          <w:sz w:val="22"/>
          <w:szCs w:val="22"/>
        </w:rPr>
        <w:t xml:space="preserve">doorway </w:t>
      </w:r>
      <w:r w:rsidR="00C8497A">
        <w:rPr>
          <w:sz w:val="22"/>
          <w:szCs w:val="22"/>
        </w:rPr>
        <w:t>is</w:t>
      </w:r>
      <w:r w:rsidR="00DE1BBC">
        <w:rPr>
          <w:sz w:val="22"/>
          <w:szCs w:val="22"/>
        </w:rPr>
        <w:t xml:space="preserve"> outweigh</w:t>
      </w:r>
      <w:r w:rsidR="00C8497A">
        <w:rPr>
          <w:sz w:val="22"/>
          <w:szCs w:val="22"/>
        </w:rPr>
        <w:t>ed</w:t>
      </w:r>
      <w:r w:rsidR="00DE1BBC">
        <w:rPr>
          <w:sz w:val="22"/>
          <w:szCs w:val="22"/>
        </w:rPr>
        <w:t xml:space="preserve"> </w:t>
      </w:r>
      <w:r w:rsidR="00C8497A">
        <w:rPr>
          <w:sz w:val="22"/>
          <w:szCs w:val="22"/>
        </w:rPr>
        <w:t xml:space="preserve">by </w:t>
      </w:r>
      <w:r w:rsidR="00DE1BBC">
        <w:rPr>
          <w:sz w:val="22"/>
          <w:szCs w:val="22"/>
        </w:rPr>
        <w:t>the</w:t>
      </w:r>
      <w:r w:rsidR="000F0EA2">
        <w:rPr>
          <w:sz w:val="22"/>
          <w:szCs w:val="22"/>
        </w:rPr>
        <w:t xml:space="preserve"> extent of the</w:t>
      </w:r>
      <w:r w:rsidR="00C078FC">
        <w:rPr>
          <w:sz w:val="22"/>
          <w:szCs w:val="22"/>
        </w:rPr>
        <w:t xml:space="preserve"> </w:t>
      </w:r>
      <w:r w:rsidR="00A4549A">
        <w:rPr>
          <w:sz w:val="22"/>
          <w:szCs w:val="22"/>
        </w:rPr>
        <w:t xml:space="preserve">negative impact </w:t>
      </w:r>
      <w:r w:rsidR="00C07F18">
        <w:rPr>
          <w:sz w:val="22"/>
          <w:szCs w:val="22"/>
        </w:rPr>
        <w:t xml:space="preserve">on the </w:t>
      </w:r>
      <w:r w:rsidR="0082374F">
        <w:rPr>
          <w:sz w:val="22"/>
          <w:szCs w:val="22"/>
        </w:rPr>
        <w:t xml:space="preserve">proposed </w:t>
      </w:r>
      <w:r w:rsidR="00C07F18">
        <w:rPr>
          <w:sz w:val="22"/>
          <w:szCs w:val="22"/>
        </w:rPr>
        <w:t xml:space="preserve">reasonable use of the </w:t>
      </w:r>
      <w:r w:rsidR="00B97E25">
        <w:rPr>
          <w:sz w:val="22"/>
          <w:szCs w:val="22"/>
        </w:rPr>
        <w:t xml:space="preserve">broader </w:t>
      </w:r>
      <w:r w:rsidR="00C07F18">
        <w:rPr>
          <w:sz w:val="22"/>
          <w:szCs w:val="22"/>
        </w:rPr>
        <w:t>Place</w:t>
      </w:r>
      <w:r w:rsidR="00B97E25">
        <w:rPr>
          <w:sz w:val="22"/>
          <w:szCs w:val="22"/>
          <w:lang w:val="en-AU"/>
        </w:rPr>
        <w:t xml:space="preserve"> bounded by Collins, Queen and Little Collins Streets</w:t>
      </w:r>
      <w:r w:rsidR="00B97E25" w:rsidRPr="00543935">
        <w:rPr>
          <w:sz w:val="22"/>
          <w:szCs w:val="22"/>
          <w:lang w:val="en-AU"/>
        </w:rPr>
        <w:t>.</w:t>
      </w:r>
      <w:r w:rsidR="00430361">
        <w:rPr>
          <w:sz w:val="22"/>
          <w:szCs w:val="22"/>
        </w:rPr>
        <w:t xml:space="preserve"> </w:t>
      </w:r>
    </w:p>
    <w:p w14:paraId="56C7C7A0" w14:textId="6FAF4C28" w:rsidR="00605473" w:rsidRDefault="00C8497A" w:rsidP="00247918">
      <w:pPr>
        <w:pStyle w:val="BP2"/>
        <w:numPr>
          <w:ilvl w:val="0"/>
          <w:numId w:val="3"/>
        </w:numPr>
        <w:tabs>
          <w:tab w:val="clear" w:pos="432"/>
          <w:tab w:val="left" w:pos="709"/>
        </w:tabs>
        <w:ind w:left="567" w:hanging="567"/>
        <w:rPr>
          <w:b/>
          <w:sz w:val="24"/>
          <w:lang w:eastAsia="en-AU"/>
        </w:rPr>
      </w:pPr>
      <w:r w:rsidRPr="00C8497A">
        <w:rPr>
          <w:sz w:val="22"/>
          <w:szCs w:val="22"/>
        </w:rPr>
        <w:t>The</w:t>
      </w:r>
      <w:r>
        <w:rPr>
          <w:sz w:val="22"/>
          <w:szCs w:val="22"/>
        </w:rPr>
        <w:t xml:space="preserve">re was some discussion </w:t>
      </w:r>
      <w:r w:rsidR="003315AF">
        <w:rPr>
          <w:sz w:val="22"/>
          <w:szCs w:val="22"/>
        </w:rPr>
        <w:t xml:space="preserve">at the hearing </w:t>
      </w:r>
      <w:r>
        <w:rPr>
          <w:sz w:val="22"/>
          <w:szCs w:val="22"/>
        </w:rPr>
        <w:t xml:space="preserve">about the appropriate design of the doorway. The Permit Applicant put up </w:t>
      </w:r>
      <w:proofErr w:type="gramStart"/>
      <w:r>
        <w:rPr>
          <w:sz w:val="22"/>
          <w:szCs w:val="22"/>
        </w:rPr>
        <w:t>a number of</w:t>
      </w:r>
      <w:proofErr w:type="gramEnd"/>
      <w:r>
        <w:rPr>
          <w:sz w:val="22"/>
          <w:szCs w:val="22"/>
        </w:rPr>
        <w:t xml:space="preserve"> options.</w:t>
      </w:r>
      <w:r w:rsidRPr="00C8497A">
        <w:rPr>
          <w:sz w:val="22"/>
          <w:szCs w:val="22"/>
        </w:rPr>
        <w:t xml:space="preserve"> </w:t>
      </w:r>
      <w:r>
        <w:rPr>
          <w:sz w:val="22"/>
          <w:szCs w:val="22"/>
        </w:rPr>
        <w:t xml:space="preserve">The </w:t>
      </w:r>
      <w:r w:rsidRPr="00C8497A">
        <w:rPr>
          <w:sz w:val="22"/>
          <w:szCs w:val="22"/>
        </w:rPr>
        <w:t xml:space="preserve">Committee </w:t>
      </w:r>
      <w:r>
        <w:rPr>
          <w:sz w:val="22"/>
          <w:szCs w:val="22"/>
        </w:rPr>
        <w:t>considers</w:t>
      </w:r>
      <w:r w:rsidRPr="00C8497A">
        <w:rPr>
          <w:sz w:val="22"/>
          <w:szCs w:val="22"/>
        </w:rPr>
        <w:t xml:space="preserve"> that the doorway when viewed from inside the Cathedral Room should be complementary to the doorway in the southern wall</w:t>
      </w:r>
      <w:r w:rsidR="00B97E25">
        <w:rPr>
          <w:sz w:val="22"/>
          <w:szCs w:val="22"/>
        </w:rPr>
        <w:t xml:space="preserve"> but with simplified </w:t>
      </w:r>
      <w:proofErr w:type="spellStart"/>
      <w:r w:rsidR="00B97E25">
        <w:rPr>
          <w:sz w:val="22"/>
          <w:szCs w:val="22"/>
        </w:rPr>
        <w:t>moulding</w:t>
      </w:r>
      <w:proofErr w:type="spellEnd"/>
      <w:r w:rsidRPr="00C8497A">
        <w:rPr>
          <w:sz w:val="22"/>
          <w:szCs w:val="22"/>
        </w:rPr>
        <w:t xml:space="preserve">. The Committee considers that timber is the preferred framing material </w:t>
      </w:r>
      <w:r w:rsidR="00B97E25">
        <w:rPr>
          <w:sz w:val="22"/>
          <w:szCs w:val="22"/>
        </w:rPr>
        <w:t xml:space="preserve">and the </w:t>
      </w:r>
      <w:r w:rsidRPr="00C8497A">
        <w:rPr>
          <w:sz w:val="22"/>
          <w:szCs w:val="22"/>
        </w:rPr>
        <w:t xml:space="preserve">glazing should occur </w:t>
      </w:r>
      <w:r w:rsidR="00B97E25">
        <w:rPr>
          <w:sz w:val="22"/>
          <w:szCs w:val="22"/>
        </w:rPr>
        <w:t>above the</w:t>
      </w:r>
      <w:r w:rsidRPr="00C8497A">
        <w:rPr>
          <w:sz w:val="22"/>
          <w:szCs w:val="22"/>
        </w:rPr>
        <w:t xml:space="preserve"> height </w:t>
      </w:r>
      <w:r w:rsidR="00B97E25">
        <w:rPr>
          <w:sz w:val="22"/>
          <w:szCs w:val="22"/>
        </w:rPr>
        <w:t>of</w:t>
      </w:r>
      <w:r w:rsidRPr="00C8497A">
        <w:rPr>
          <w:sz w:val="22"/>
          <w:szCs w:val="22"/>
        </w:rPr>
        <w:t xml:space="preserve"> the top of the existing dado</w:t>
      </w:r>
      <w:r w:rsidR="00B97E25">
        <w:rPr>
          <w:sz w:val="22"/>
          <w:szCs w:val="22"/>
        </w:rPr>
        <w:t xml:space="preserve"> </w:t>
      </w:r>
      <w:r w:rsidR="00B97E25">
        <w:rPr>
          <w:sz w:val="22"/>
          <w:szCs w:val="22"/>
          <w:lang w:val="en-AU"/>
        </w:rPr>
        <w:t>to echo the original division between the dark, visually solid marble dado and the light limestone wall above it</w:t>
      </w:r>
      <w:r w:rsidRPr="00C8497A">
        <w:rPr>
          <w:sz w:val="22"/>
          <w:szCs w:val="22"/>
        </w:rPr>
        <w:t xml:space="preserve">. </w:t>
      </w:r>
      <w:r w:rsidR="003315AF">
        <w:rPr>
          <w:sz w:val="22"/>
          <w:szCs w:val="22"/>
        </w:rPr>
        <w:t xml:space="preserve">The exterior presentation of the doorway </w:t>
      </w:r>
      <w:r w:rsidR="00B97E25">
        <w:rPr>
          <w:sz w:val="22"/>
          <w:szCs w:val="22"/>
        </w:rPr>
        <w:t>should be</w:t>
      </w:r>
      <w:r w:rsidR="003315AF">
        <w:rPr>
          <w:sz w:val="22"/>
          <w:szCs w:val="22"/>
        </w:rPr>
        <w:t xml:space="preserve"> complementary to both the heritage building and the urban design of the exterior space. </w:t>
      </w:r>
      <w:r w:rsidRPr="00C8497A">
        <w:rPr>
          <w:sz w:val="22"/>
          <w:szCs w:val="22"/>
        </w:rPr>
        <w:t>The Committee considers it appropriate that the final design of the doorway should be to the satisfaction of the Executive Director.</w:t>
      </w:r>
    </w:p>
    <w:p w14:paraId="03D94951" w14:textId="5B94C91B" w:rsidR="000D629A" w:rsidRDefault="00BD69CB" w:rsidP="000411B7">
      <w:pPr>
        <w:pStyle w:val="BP2"/>
        <w:numPr>
          <w:ilvl w:val="0"/>
          <w:numId w:val="3"/>
        </w:numPr>
        <w:tabs>
          <w:tab w:val="clear" w:pos="432"/>
          <w:tab w:val="left" w:pos="709"/>
        </w:tabs>
        <w:ind w:left="567" w:hanging="567"/>
        <w:rPr>
          <w:sz w:val="22"/>
          <w:szCs w:val="22"/>
        </w:rPr>
      </w:pPr>
      <w:r>
        <w:rPr>
          <w:sz w:val="22"/>
          <w:szCs w:val="22"/>
        </w:rPr>
        <w:t xml:space="preserve">The Committee </w:t>
      </w:r>
      <w:r w:rsidR="00C8497A">
        <w:rPr>
          <w:sz w:val="22"/>
          <w:szCs w:val="22"/>
        </w:rPr>
        <w:t xml:space="preserve">concludes </w:t>
      </w:r>
      <w:r>
        <w:rPr>
          <w:sz w:val="22"/>
          <w:szCs w:val="22"/>
        </w:rPr>
        <w:t>that</w:t>
      </w:r>
      <w:r w:rsidR="000D629A">
        <w:rPr>
          <w:sz w:val="22"/>
          <w:szCs w:val="22"/>
        </w:rPr>
        <w:t xml:space="preserve"> </w:t>
      </w:r>
      <w:r w:rsidR="0086433E">
        <w:rPr>
          <w:sz w:val="22"/>
          <w:szCs w:val="22"/>
        </w:rPr>
        <w:t>C</w:t>
      </w:r>
      <w:r w:rsidR="000D629A">
        <w:rPr>
          <w:sz w:val="22"/>
          <w:szCs w:val="22"/>
        </w:rPr>
        <w:t xml:space="preserve">ondition </w:t>
      </w:r>
      <w:r w:rsidR="0086433E">
        <w:rPr>
          <w:sz w:val="22"/>
          <w:szCs w:val="22"/>
        </w:rPr>
        <w:t>2</w:t>
      </w:r>
      <w:r>
        <w:rPr>
          <w:sz w:val="22"/>
          <w:szCs w:val="22"/>
        </w:rPr>
        <w:t xml:space="preserve"> should be amended </w:t>
      </w:r>
      <w:r w:rsidR="00C8497A">
        <w:rPr>
          <w:sz w:val="22"/>
          <w:szCs w:val="22"/>
        </w:rPr>
        <w:t xml:space="preserve">generally </w:t>
      </w:r>
      <w:r w:rsidR="00BB6236">
        <w:rPr>
          <w:sz w:val="22"/>
          <w:szCs w:val="22"/>
        </w:rPr>
        <w:t xml:space="preserve">as proposed by the Permit Applicant </w:t>
      </w:r>
      <w:r>
        <w:rPr>
          <w:sz w:val="22"/>
          <w:szCs w:val="22"/>
        </w:rPr>
        <w:t xml:space="preserve">to allow the proposed </w:t>
      </w:r>
      <w:r w:rsidR="00C8497A">
        <w:rPr>
          <w:sz w:val="22"/>
          <w:szCs w:val="22"/>
        </w:rPr>
        <w:t xml:space="preserve">doorway </w:t>
      </w:r>
      <w:r>
        <w:rPr>
          <w:sz w:val="22"/>
          <w:szCs w:val="22"/>
        </w:rPr>
        <w:t>and to</w:t>
      </w:r>
      <w:r w:rsidR="000D629A">
        <w:rPr>
          <w:sz w:val="22"/>
          <w:szCs w:val="22"/>
        </w:rPr>
        <w:t xml:space="preserve"> </w:t>
      </w:r>
      <w:r>
        <w:rPr>
          <w:sz w:val="22"/>
          <w:szCs w:val="22"/>
        </w:rPr>
        <w:t xml:space="preserve">also </w:t>
      </w:r>
      <w:r w:rsidR="000D629A">
        <w:rPr>
          <w:sz w:val="22"/>
          <w:szCs w:val="22"/>
        </w:rPr>
        <w:t>require the preparation of plans for endorsement by the Executive Directo</w:t>
      </w:r>
      <w:r w:rsidR="00BD709B">
        <w:rPr>
          <w:sz w:val="22"/>
          <w:szCs w:val="22"/>
        </w:rPr>
        <w:t xml:space="preserve">r. </w:t>
      </w:r>
      <w:r w:rsidR="000D629A">
        <w:rPr>
          <w:sz w:val="22"/>
          <w:szCs w:val="22"/>
        </w:rPr>
        <w:t>The Committee</w:t>
      </w:r>
      <w:r w:rsidR="005A6621">
        <w:rPr>
          <w:sz w:val="22"/>
          <w:szCs w:val="22"/>
        </w:rPr>
        <w:t xml:space="preserve"> </w:t>
      </w:r>
      <w:r w:rsidR="000D629A">
        <w:rPr>
          <w:sz w:val="22"/>
          <w:szCs w:val="22"/>
        </w:rPr>
        <w:t xml:space="preserve">has included </w:t>
      </w:r>
      <w:r w:rsidR="00380150">
        <w:rPr>
          <w:sz w:val="22"/>
          <w:szCs w:val="22"/>
        </w:rPr>
        <w:t>an amended</w:t>
      </w:r>
      <w:r w:rsidR="000D629A">
        <w:rPr>
          <w:sz w:val="22"/>
          <w:szCs w:val="22"/>
        </w:rPr>
        <w:t xml:space="preserve"> Condition </w:t>
      </w:r>
      <w:r w:rsidR="005A6621">
        <w:rPr>
          <w:sz w:val="22"/>
          <w:szCs w:val="22"/>
        </w:rPr>
        <w:t>2</w:t>
      </w:r>
      <w:r w:rsidR="000D629A">
        <w:rPr>
          <w:sz w:val="22"/>
          <w:szCs w:val="22"/>
        </w:rPr>
        <w:t xml:space="preserve"> </w:t>
      </w:r>
      <w:r w:rsidR="00524FE9">
        <w:rPr>
          <w:sz w:val="22"/>
          <w:szCs w:val="22"/>
        </w:rPr>
        <w:t>to be inserted in to</w:t>
      </w:r>
      <w:r w:rsidR="000D629A">
        <w:rPr>
          <w:sz w:val="22"/>
          <w:szCs w:val="22"/>
        </w:rPr>
        <w:t xml:space="preserve"> </w:t>
      </w:r>
      <w:r w:rsidR="00D00114">
        <w:rPr>
          <w:sz w:val="22"/>
          <w:szCs w:val="22"/>
        </w:rPr>
        <w:t>P</w:t>
      </w:r>
      <w:r w:rsidR="00BB6236">
        <w:rPr>
          <w:sz w:val="22"/>
          <w:szCs w:val="22"/>
        </w:rPr>
        <w:t>ermit No. P</w:t>
      </w:r>
      <w:r w:rsidR="00D00114">
        <w:rPr>
          <w:sz w:val="22"/>
          <w:szCs w:val="22"/>
        </w:rPr>
        <w:t>29660</w:t>
      </w:r>
      <w:r w:rsidR="000D629A">
        <w:rPr>
          <w:sz w:val="22"/>
          <w:szCs w:val="22"/>
        </w:rPr>
        <w:t xml:space="preserve">, as shown in </w:t>
      </w:r>
      <w:r w:rsidR="000D629A" w:rsidRPr="000D629A">
        <w:rPr>
          <w:b/>
          <w:sz w:val="22"/>
          <w:szCs w:val="22"/>
        </w:rPr>
        <w:t>Attachment 2</w:t>
      </w:r>
      <w:r w:rsidR="000D629A">
        <w:rPr>
          <w:sz w:val="22"/>
          <w:szCs w:val="22"/>
        </w:rPr>
        <w:t>.</w:t>
      </w:r>
    </w:p>
    <w:p w14:paraId="7DF47B1A" w14:textId="4942275B" w:rsidR="00A423B6" w:rsidRPr="00AE03B1" w:rsidRDefault="00A423B6" w:rsidP="00EB2F82">
      <w:pPr>
        <w:pStyle w:val="H3AFTER"/>
        <w:keepNext/>
        <w:spacing w:before="240"/>
        <w:rPr>
          <w:b/>
          <w:sz w:val="24"/>
          <w:lang w:eastAsia="en-AU"/>
        </w:rPr>
      </w:pPr>
      <w:r w:rsidRPr="00AE03B1">
        <w:rPr>
          <w:b/>
          <w:sz w:val="24"/>
          <w:lang w:eastAsia="en-AU"/>
        </w:rPr>
        <w:lastRenderedPageBreak/>
        <w:t>CONCLUSION</w:t>
      </w:r>
    </w:p>
    <w:p w14:paraId="516A8170" w14:textId="345C9088" w:rsidR="00A423B6" w:rsidRPr="001337C6" w:rsidRDefault="005664DE" w:rsidP="005316A7">
      <w:pPr>
        <w:pStyle w:val="BP2"/>
        <w:numPr>
          <w:ilvl w:val="0"/>
          <w:numId w:val="3"/>
        </w:numPr>
        <w:tabs>
          <w:tab w:val="clear" w:pos="432"/>
          <w:tab w:val="left" w:pos="709"/>
        </w:tabs>
        <w:ind w:left="567" w:hanging="567"/>
        <w:rPr>
          <w:sz w:val="22"/>
          <w:szCs w:val="22"/>
        </w:rPr>
      </w:pPr>
      <w:r w:rsidRPr="00EB2F82">
        <w:rPr>
          <w:sz w:val="22"/>
          <w:szCs w:val="22"/>
        </w:rPr>
        <w:t>After considering all submissions received in relation to the permit review, and after conducting a hearing, the Heritage Council has determined pursuant to section 108(7)(</w:t>
      </w:r>
      <w:r w:rsidR="00B31B61">
        <w:rPr>
          <w:sz w:val="22"/>
          <w:szCs w:val="22"/>
        </w:rPr>
        <w:t>b</w:t>
      </w:r>
      <w:r w:rsidRPr="00EB2F82">
        <w:rPr>
          <w:sz w:val="22"/>
          <w:szCs w:val="22"/>
        </w:rPr>
        <w:t xml:space="preserve">) of the </w:t>
      </w:r>
      <w:r w:rsidRPr="0058388A">
        <w:rPr>
          <w:i/>
          <w:iCs/>
          <w:sz w:val="22"/>
          <w:szCs w:val="22"/>
        </w:rPr>
        <w:t>Heritage Act 2017</w:t>
      </w:r>
      <w:r w:rsidRPr="00EB2F82">
        <w:rPr>
          <w:sz w:val="22"/>
          <w:szCs w:val="22"/>
        </w:rPr>
        <w:t xml:space="preserve"> to </w:t>
      </w:r>
      <w:r w:rsidR="00B31B61">
        <w:rPr>
          <w:sz w:val="22"/>
          <w:szCs w:val="22"/>
        </w:rPr>
        <w:t>vary</w:t>
      </w:r>
      <w:r w:rsidRPr="00EB2F82">
        <w:rPr>
          <w:sz w:val="22"/>
          <w:szCs w:val="22"/>
        </w:rPr>
        <w:t xml:space="preserve"> the determination under review, by </w:t>
      </w:r>
      <w:r w:rsidR="00B31B61">
        <w:rPr>
          <w:sz w:val="22"/>
          <w:szCs w:val="22"/>
        </w:rPr>
        <w:t xml:space="preserve">amending Condition 2 of </w:t>
      </w:r>
      <w:r w:rsidRPr="00EB2F82">
        <w:rPr>
          <w:sz w:val="22"/>
          <w:szCs w:val="22"/>
        </w:rPr>
        <w:t>Permit No. P2</w:t>
      </w:r>
      <w:r w:rsidR="00B31B61">
        <w:rPr>
          <w:sz w:val="22"/>
          <w:szCs w:val="22"/>
        </w:rPr>
        <w:t>9660</w:t>
      </w:r>
      <w:r w:rsidRPr="00EB2F82">
        <w:rPr>
          <w:sz w:val="22"/>
          <w:szCs w:val="22"/>
        </w:rPr>
        <w:t xml:space="preserve"> </w:t>
      </w:r>
      <w:r w:rsidR="007E7D0C">
        <w:rPr>
          <w:sz w:val="22"/>
          <w:szCs w:val="22"/>
        </w:rPr>
        <w:t xml:space="preserve">as attached </w:t>
      </w:r>
      <w:r w:rsidRPr="00EB2F82">
        <w:rPr>
          <w:sz w:val="22"/>
          <w:szCs w:val="22"/>
        </w:rPr>
        <w:t>(</w:t>
      </w:r>
      <w:r w:rsidRPr="00A2776F">
        <w:rPr>
          <w:b/>
          <w:sz w:val="22"/>
          <w:szCs w:val="22"/>
        </w:rPr>
        <w:t xml:space="preserve">Attachment </w:t>
      </w:r>
      <w:r w:rsidR="000B52C3" w:rsidRPr="00A2776F">
        <w:rPr>
          <w:b/>
          <w:sz w:val="22"/>
          <w:szCs w:val="22"/>
        </w:rPr>
        <w:t>2</w:t>
      </w:r>
      <w:r w:rsidRPr="000B52C3">
        <w:rPr>
          <w:sz w:val="22"/>
          <w:szCs w:val="22"/>
        </w:rPr>
        <w:t>).</w:t>
      </w:r>
    </w:p>
    <w:p w14:paraId="72A47D81" w14:textId="77777777" w:rsidR="00C25D14" w:rsidRPr="00C25D14" w:rsidRDefault="00C25D14" w:rsidP="00E22470">
      <w:pPr>
        <w:widowControl w:val="0"/>
        <w:tabs>
          <w:tab w:val="left" w:pos="900"/>
        </w:tabs>
        <w:ind w:left="142" w:right="-20"/>
      </w:pPr>
    </w:p>
    <w:p w14:paraId="68CE311E" w14:textId="3C49AAC4" w:rsidR="00AA0AFD" w:rsidRDefault="00AA0AFD" w:rsidP="00FA3356">
      <w:pPr>
        <w:numPr>
          <w:ilvl w:val="0"/>
          <w:numId w:val="1"/>
        </w:numPr>
        <w:ind w:left="0"/>
        <w:jc w:val="both"/>
        <w:rPr>
          <w:sz w:val="23"/>
          <w:szCs w:val="23"/>
          <w:lang w:val="en-US" w:eastAsia="en-AU"/>
        </w:rPr>
        <w:sectPr w:rsidR="00AA0AFD" w:rsidSect="007C0DF1">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567" w:footer="567" w:gutter="0"/>
          <w:cols w:space="720"/>
          <w:titlePg/>
          <w:docGrid w:linePitch="360"/>
        </w:sectPr>
      </w:pPr>
    </w:p>
    <w:p w14:paraId="1C570557" w14:textId="4F7BA03F" w:rsidR="00C85E4B" w:rsidRPr="00C85E4B" w:rsidRDefault="00C85E4B" w:rsidP="00C85E4B">
      <w:pPr>
        <w:pStyle w:val="H2AFTER"/>
        <w:rPr>
          <w:color w:val="AA1E2E"/>
        </w:rPr>
      </w:pPr>
      <w:r w:rsidRPr="00694F21">
        <w:rPr>
          <w:color w:val="AA1E2E"/>
        </w:rPr>
        <w:lastRenderedPageBreak/>
        <w:t>ATTACHMENT 1</w:t>
      </w:r>
    </w:p>
    <w:p w14:paraId="26E6AFCE" w14:textId="77777777" w:rsidR="009A43E6" w:rsidRDefault="009A43E6" w:rsidP="009A43E6">
      <w:pPr>
        <w:pStyle w:val="H2AFTER"/>
        <w:rPr>
          <w:sz w:val="22"/>
        </w:rPr>
      </w:pPr>
      <w:r>
        <w:rPr>
          <w:sz w:val="22"/>
        </w:rPr>
        <w:t>SECTION 101 OF THE HERITAGE ACT 2017</w:t>
      </w:r>
    </w:p>
    <w:p w14:paraId="7AF32828" w14:textId="77777777" w:rsidR="009A43E6" w:rsidRPr="00A30E5D" w:rsidRDefault="009A43E6" w:rsidP="009A43E6">
      <w:pPr>
        <w:pStyle w:val="DraftHeading1"/>
        <w:tabs>
          <w:tab w:val="right" w:pos="680"/>
        </w:tabs>
        <w:ind w:left="567" w:right="-567" w:hanging="567"/>
        <w:rPr>
          <w:rFonts w:ascii="Arial" w:eastAsiaTheme="minorEastAsia" w:hAnsi="Arial" w:cs="Arial"/>
          <w:color w:val="323E48"/>
          <w:sz w:val="22"/>
          <w:szCs w:val="22"/>
          <w:lang w:val="en-US" w:bidi="hi-IN"/>
        </w:rPr>
      </w:pPr>
      <w:bookmarkStart w:id="9" w:name="_Toc528317795"/>
      <w:r w:rsidRPr="00A30E5D">
        <w:rPr>
          <w:rFonts w:ascii="Arial" w:eastAsiaTheme="minorEastAsia" w:hAnsi="Arial" w:cs="Arial"/>
          <w:color w:val="323E48"/>
          <w:sz w:val="22"/>
          <w:szCs w:val="22"/>
          <w:lang w:val="en-US" w:bidi="hi-IN"/>
        </w:rPr>
        <w:t>101</w:t>
      </w:r>
      <w:r w:rsidRPr="00A30E5D">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b/>
        <w:t>Determination of permit applications</w:t>
      </w:r>
      <w:bookmarkEnd w:id="9"/>
    </w:p>
    <w:p w14:paraId="5D587AD2" w14:textId="77777777" w:rsidR="009A43E6" w:rsidRPr="00A30E5D" w:rsidRDefault="009A43E6" w:rsidP="009A43E6">
      <w:pPr>
        <w:pStyle w:val="DraftHeading2"/>
        <w:tabs>
          <w:tab w:val="right" w:pos="1247"/>
        </w:tabs>
        <w:ind w:left="993" w:hanging="426"/>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(1)</w:t>
      </w:r>
      <w:r w:rsidRPr="00A30E5D">
        <w:rPr>
          <w:rFonts w:ascii="Arial" w:eastAsiaTheme="minorEastAsia" w:hAnsi="Arial" w:cs="Arial"/>
          <w:color w:val="323E48"/>
          <w:sz w:val="22"/>
          <w:szCs w:val="22"/>
          <w:lang w:val="en-US" w:bidi="hi-IN"/>
        </w:rPr>
        <w:tab/>
        <w:t>After considering an application the Executive Director may—</w:t>
      </w:r>
    </w:p>
    <w:p w14:paraId="266CA089" w14:textId="77777777" w:rsidR="009A43E6" w:rsidRPr="00A30E5D" w:rsidRDefault="009A43E6" w:rsidP="009A43E6">
      <w:pPr>
        <w:pStyle w:val="DraftHeading3"/>
        <w:ind w:left="1560" w:hanging="567"/>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approve the application and—</w:t>
      </w:r>
    </w:p>
    <w:p w14:paraId="30575DDE" w14:textId="77777777" w:rsidR="009A43E6"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w:t>
      </w:r>
      <w:r>
        <w:rPr>
          <w:rFonts w:ascii="Arial" w:eastAsiaTheme="minorEastAsia" w:hAnsi="Arial" w:cs="Arial"/>
          <w:color w:val="323E48"/>
          <w:sz w:val="22"/>
          <w:szCs w:val="22"/>
          <w:lang w:val="en-US" w:bidi="hi-IN"/>
        </w:rPr>
        <w:tab/>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issue the permit for the proposed works or activities; or</w:t>
      </w:r>
    </w:p>
    <w:p w14:paraId="22B8ED09"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(ii)</w:t>
      </w:r>
      <w:r w:rsidRPr="00A30E5D">
        <w:rPr>
          <w:rFonts w:ascii="Arial" w:eastAsiaTheme="minorEastAsia" w:hAnsi="Arial" w:cs="Arial"/>
          <w:color w:val="323E48"/>
          <w:sz w:val="22"/>
          <w:szCs w:val="22"/>
          <w:lang w:val="en-US" w:bidi="hi-IN"/>
        </w:rPr>
        <w:tab/>
        <w:t>issue the permit for some of the proposed works or activities specified in the application; or</w:t>
      </w:r>
    </w:p>
    <w:p w14:paraId="2B6A2E83" w14:textId="77777777" w:rsidR="009A43E6" w:rsidRPr="00A30E5D" w:rsidRDefault="009A43E6" w:rsidP="009A43E6">
      <w:pPr>
        <w:pStyle w:val="DraftHeading3"/>
        <w:ind w:left="1560" w:hanging="567"/>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(b)</w:t>
      </w:r>
      <w:r w:rsidRPr="00A30E5D">
        <w:rPr>
          <w:rFonts w:ascii="Arial" w:eastAsiaTheme="minorEastAsia" w:hAnsi="Arial" w:cs="Arial"/>
          <w:color w:val="323E48"/>
          <w:sz w:val="22"/>
          <w:szCs w:val="22"/>
          <w:lang w:val="en-US" w:bidi="hi-IN"/>
        </w:rPr>
        <w:tab/>
        <w:t>refuse the application.</w:t>
      </w:r>
    </w:p>
    <w:p w14:paraId="238732EE" w14:textId="77777777" w:rsidR="009A43E6" w:rsidRPr="00A30E5D" w:rsidRDefault="009A43E6" w:rsidP="009A43E6">
      <w:pPr>
        <w:pStyle w:val="DraftHeading2"/>
        <w:ind w:left="993" w:hanging="426"/>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(2)</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In determining whether to approve an application for a permit, the Executive Director must consider the following—</w:t>
      </w:r>
    </w:p>
    <w:p w14:paraId="14B9980D"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extent to which the application, if approved, would affect the cultural heritage significance of the registered place or registered object;</w:t>
      </w:r>
    </w:p>
    <w:p w14:paraId="2F0AD80E"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(b)</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extent to which the application, if refused, would affect the reasonable or economic use of the registered place or registered object;</w:t>
      </w:r>
    </w:p>
    <w:p w14:paraId="4E0F66CE"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(c)</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any submissions made under section 95 or 100;</w:t>
      </w:r>
    </w:p>
    <w:p w14:paraId="3FE7BEE2"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(d)</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if the applicant is a public authority, the extent to which the application, if refused, would unreasonably detrimentally affect the ability of the public authority to perform a statutory duty specified in the application;</w:t>
      </w:r>
    </w:p>
    <w:p w14:paraId="3892B9F8" w14:textId="77777777" w:rsidR="009A43E6" w:rsidRPr="00A30E5D"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(e)</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if the application relates to a listed place or to a registered place or registered object in a World Heritage Environs Area, the extent to which the application, if approved, would affect—</w:t>
      </w:r>
    </w:p>
    <w:p w14:paraId="6FF53F13"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w:t>
      </w:r>
      <w:r>
        <w:rPr>
          <w:rFonts w:ascii="Arial" w:eastAsiaTheme="minorEastAsia" w:hAnsi="Arial" w:cs="Arial"/>
          <w:color w:val="323E48"/>
          <w:sz w:val="22"/>
          <w:szCs w:val="22"/>
          <w:lang w:val="en-US" w:bidi="hi-IN"/>
        </w:rPr>
        <w:tab/>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world heritage values of the listed place; or</w:t>
      </w:r>
    </w:p>
    <w:p w14:paraId="2E81AFE5" w14:textId="77777777" w:rsidR="009A43E6"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(ii)</w:t>
      </w:r>
      <w:r w:rsidRPr="00A30E5D">
        <w:rPr>
          <w:rFonts w:ascii="Arial" w:eastAsiaTheme="minorEastAsia" w:hAnsi="Arial" w:cs="Arial"/>
          <w:color w:val="323E48"/>
          <w:sz w:val="22"/>
          <w:szCs w:val="22"/>
          <w:lang w:val="en-US" w:bidi="hi-IN"/>
        </w:rPr>
        <w:tab/>
        <w:t>any relevant Approved World Heritage Strategy Plan;</w:t>
      </w:r>
    </w:p>
    <w:p w14:paraId="40459E90" w14:textId="77777777" w:rsidR="009A43E6" w:rsidRPr="00A30E5D" w:rsidRDefault="009A43E6" w:rsidP="009A43E6">
      <w:pPr>
        <w:pStyle w:val="DraftHeading4"/>
        <w:ind w:left="1560" w:hanging="567"/>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(f) </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any matters relating to the protection and conservation of the registered place or registered object that the Executive Director considers relevant.</w:t>
      </w:r>
    </w:p>
    <w:p w14:paraId="7F24FDB4" w14:textId="250A329C" w:rsidR="009A43E6" w:rsidRPr="008E5DAD" w:rsidRDefault="009A43E6" w:rsidP="008901E6">
      <w:pPr>
        <w:pStyle w:val="DraftHeading2"/>
        <w:tabs>
          <w:tab w:val="right" w:pos="1247"/>
        </w:tabs>
        <w:ind w:left="993" w:hanging="426"/>
        <w:rPr>
          <w:b/>
          <w:color w:val="AA1E2E"/>
        </w:rPr>
        <w:sectPr w:rsidR="009A43E6" w:rsidRPr="008E5DAD" w:rsidSect="00F11BA8">
          <w:pgSz w:w="11907" w:h="16840" w:code="9"/>
          <w:pgMar w:top="1702" w:right="1701" w:bottom="1418" w:left="1701" w:header="567" w:footer="567" w:gutter="0"/>
          <w:cols w:space="720"/>
          <w:titlePg/>
          <w:docGrid w:linePitch="360"/>
        </w:sectPr>
      </w:pPr>
    </w:p>
    <w:p w14:paraId="0AABCBE8" w14:textId="77777777" w:rsidR="00BD2DE6" w:rsidRDefault="00897608" w:rsidP="00C0640D">
      <w:pPr>
        <w:pStyle w:val="H2AFTER"/>
        <w:rPr>
          <w:color w:val="AA1E2E"/>
        </w:rPr>
      </w:pPr>
      <w:r w:rsidRPr="00C85E4B">
        <w:rPr>
          <w:color w:val="AA1E2E"/>
        </w:rPr>
        <w:lastRenderedPageBreak/>
        <w:t>ATTACHMENT</w:t>
      </w:r>
      <w:r w:rsidR="00F36431">
        <w:rPr>
          <w:color w:val="AA1E2E"/>
        </w:rPr>
        <w:t xml:space="preserve"> 2</w:t>
      </w:r>
    </w:p>
    <w:p w14:paraId="4F97874E" w14:textId="77777777" w:rsidR="002D6FCD" w:rsidRDefault="002D6FCD" w:rsidP="00F36431">
      <w:pPr>
        <w:pStyle w:val="H2AFTER"/>
        <w:rPr>
          <w:sz w:val="22"/>
        </w:rPr>
      </w:pPr>
    </w:p>
    <w:p w14:paraId="3BF60864" w14:textId="367524F3" w:rsidR="00AC0AA6" w:rsidRDefault="00F36431" w:rsidP="00F36431">
      <w:pPr>
        <w:pStyle w:val="H2AFTER"/>
        <w:rPr>
          <w:sz w:val="22"/>
        </w:rPr>
      </w:pPr>
      <w:r w:rsidRPr="00173A4F">
        <w:rPr>
          <w:sz w:val="22"/>
        </w:rPr>
        <w:t>PERMIT NO. P</w:t>
      </w:r>
      <w:r w:rsidR="0097283B" w:rsidRPr="00173A4F">
        <w:rPr>
          <w:sz w:val="22"/>
        </w:rPr>
        <w:t>29660</w:t>
      </w:r>
    </w:p>
    <w:p w14:paraId="47173DAB" w14:textId="77777777" w:rsidR="00247918" w:rsidRPr="00173A4F" w:rsidRDefault="00247918" w:rsidP="00F36431">
      <w:pPr>
        <w:pStyle w:val="H2AFTER"/>
        <w:rPr>
          <w:sz w:val="22"/>
        </w:rPr>
      </w:pPr>
    </w:p>
    <w:p w14:paraId="4B3BC5EC" w14:textId="77777777" w:rsidR="00581529" w:rsidRPr="00173A4F" w:rsidRDefault="00581529" w:rsidP="00581529">
      <w:pPr>
        <w:spacing w:before="240" w:after="240"/>
        <w:jc w:val="both"/>
        <w:rPr>
          <w:rFonts w:ascii="Georgia" w:eastAsiaTheme="minorEastAsia" w:hAnsi="Georgia" w:cs="Arial"/>
          <w:b/>
          <w:caps/>
          <w:color w:val="323E48"/>
          <w:sz w:val="22"/>
          <w:szCs w:val="18"/>
          <w:lang w:val="en-US" w:bidi="hi-IN"/>
        </w:rPr>
      </w:pPr>
      <w:r w:rsidRPr="00173A4F">
        <w:rPr>
          <w:rFonts w:ascii="Georgia" w:eastAsiaTheme="minorEastAsia" w:hAnsi="Georgia" w:cs="Arial"/>
          <w:b/>
          <w:caps/>
          <w:color w:val="323E48"/>
          <w:sz w:val="22"/>
          <w:szCs w:val="18"/>
          <w:lang w:val="en-US" w:bidi="hi-IN"/>
        </w:rPr>
        <w:t>The following conditions apply to this permit:</w:t>
      </w:r>
    </w:p>
    <w:p w14:paraId="4B61DC2A" w14:textId="61A59638" w:rsidR="0025556A" w:rsidRDefault="0025556A" w:rsidP="00173A4F">
      <w:pPr>
        <w:tabs>
          <w:tab w:val="left" w:pos="1276"/>
        </w:tabs>
        <w:spacing w:after="120"/>
        <w:ind w:right="777"/>
        <w:rPr>
          <w:rFonts w:ascii="Georgia" w:eastAsiaTheme="minorEastAsia" w:hAnsi="Georgia" w:cs="Arial"/>
          <w:color w:val="323E48"/>
          <w:sz w:val="22"/>
          <w:szCs w:val="18"/>
          <w:lang w:val="en-US" w:bidi="hi-IN"/>
        </w:rPr>
      </w:pPr>
    </w:p>
    <w:p w14:paraId="1201BAC9" w14:textId="3349CE4F" w:rsidR="00502ECA" w:rsidRPr="000B5C26" w:rsidRDefault="00D004AA" w:rsidP="00173A4F">
      <w:pPr>
        <w:tabs>
          <w:tab w:val="left" w:pos="1276"/>
        </w:tabs>
        <w:spacing w:after="120"/>
        <w:ind w:right="777"/>
        <w:rPr>
          <w:rFonts w:ascii="Georgia" w:eastAsiaTheme="minorEastAsia" w:hAnsi="Georgia" w:cs="Arial"/>
          <w:b/>
          <w:color w:val="323E48"/>
          <w:sz w:val="22"/>
          <w:szCs w:val="18"/>
          <w:lang w:val="en-US" w:bidi="hi-IN"/>
        </w:rPr>
      </w:pPr>
      <w:r w:rsidRPr="000B5C26">
        <w:rPr>
          <w:rFonts w:ascii="Georgia" w:eastAsiaTheme="minorEastAsia" w:hAnsi="Georgia" w:cs="Arial"/>
          <w:b/>
          <w:color w:val="323E48"/>
          <w:sz w:val="22"/>
          <w:szCs w:val="18"/>
          <w:lang w:val="en-US" w:bidi="hi-IN"/>
        </w:rPr>
        <w:t>Documentation</w:t>
      </w:r>
    </w:p>
    <w:p w14:paraId="60AFE445" w14:textId="77777777" w:rsidR="009E1047" w:rsidRDefault="00AE3068" w:rsidP="00173A4F">
      <w:pPr>
        <w:tabs>
          <w:tab w:val="left" w:pos="1276"/>
        </w:tabs>
        <w:spacing w:after="120"/>
        <w:ind w:right="777"/>
        <w:rPr>
          <w:rFonts w:ascii="Georgia" w:eastAsiaTheme="minorEastAsia" w:hAnsi="Georgia" w:cs="Arial"/>
          <w:color w:val="323E48"/>
          <w:sz w:val="22"/>
          <w:szCs w:val="18"/>
          <w:lang w:val="en-US" w:bidi="hi-IN"/>
        </w:rPr>
      </w:pPr>
      <w:r>
        <w:rPr>
          <w:rFonts w:ascii="Georgia" w:eastAsiaTheme="minorEastAsia" w:hAnsi="Georgia" w:cs="Arial"/>
          <w:color w:val="323E48"/>
          <w:sz w:val="22"/>
          <w:szCs w:val="18"/>
          <w:lang w:val="en-US" w:bidi="hi-IN"/>
        </w:rPr>
        <w:t>2</w:t>
      </w:r>
      <w:r w:rsidR="00173A4F" w:rsidRPr="00173A4F">
        <w:rPr>
          <w:rFonts w:ascii="Georgia" w:eastAsiaTheme="minorEastAsia" w:hAnsi="Georgia" w:cs="Arial"/>
          <w:color w:val="323E48"/>
          <w:sz w:val="22"/>
          <w:szCs w:val="18"/>
          <w:lang w:val="en-US" w:bidi="hi-IN"/>
        </w:rPr>
        <w:t>. Prior to the commencement of any works approved by the permit, a revised tender ready set of drawings and design drawings</w:t>
      </w:r>
      <w:r w:rsidR="004D31D1">
        <w:rPr>
          <w:rFonts w:ascii="Georgia" w:eastAsiaTheme="minorEastAsia" w:hAnsi="Georgia" w:cs="Arial"/>
          <w:color w:val="323E48"/>
          <w:sz w:val="22"/>
          <w:szCs w:val="18"/>
          <w:lang w:val="en-US" w:bidi="hi-IN"/>
        </w:rPr>
        <w:t>,</w:t>
      </w:r>
      <w:r w:rsidR="00173A4F" w:rsidRPr="00173A4F">
        <w:rPr>
          <w:rFonts w:ascii="Georgia" w:eastAsiaTheme="minorEastAsia" w:hAnsi="Georgia" w:cs="Arial"/>
          <w:color w:val="323E48"/>
          <w:sz w:val="22"/>
          <w:szCs w:val="18"/>
          <w:lang w:val="en-US" w:bidi="hi-IN"/>
        </w:rPr>
        <w:t xml:space="preserve"> including any materials specifications</w:t>
      </w:r>
      <w:r w:rsidR="004D31D1">
        <w:rPr>
          <w:rFonts w:ascii="Georgia" w:eastAsiaTheme="minorEastAsia" w:hAnsi="Georgia" w:cs="Arial"/>
          <w:color w:val="323E48"/>
          <w:sz w:val="22"/>
          <w:szCs w:val="18"/>
          <w:lang w:val="en-US" w:bidi="hi-IN"/>
        </w:rPr>
        <w:t>,</w:t>
      </w:r>
      <w:r w:rsidR="00173A4F" w:rsidRPr="00173A4F">
        <w:rPr>
          <w:rFonts w:ascii="Georgia" w:eastAsiaTheme="minorEastAsia" w:hAnsi="Georgia" w:cs="Arial"/>
          <w:color w:val="323E48"/>
          <w:sz w:val="22"/>
          <w:szCs w:val="18"/>
          <w:lang w:val="en-US" w:bidi="hi-IN"/>
        </w:rPr>
        <w:t xml:space="preserve"> is to be submitted to the Executive Director for written approval. The drawings must be revised to show</w:t>
      </w:r>
      <w:r w:rsidR="009E1047">
        <w:rPr>
          <w:rFonts w:ascii="Georgia" w:eastAsiaTheme="minorEastAsia" w:hAnsi="Georgia" w:cs="Arial"/>
          <w:color w:val="323E48"/>
          <w:sz w:val="22"/>
          <w:szCs w:val="18"/>
          <w:lang w:val="en-US" w:bidi="hi-IN"/>
        </w:rPr>
        <w:t>:</w:t>
      </w:r>
    </w:p>
    <w:p w14:paraId="2717F8E0" w14:textId="75F401E0" w:rsidR="009E1047" w:rsidRDefault="00173A4F" w:rsidP="009E1047">
      <w:pPr>
        <w:pStyle w:val="ListParagraph"/>
        <w:numPr>
          <w:ilvl w:val="0"/>
          <w:numId w:val="25"/>
        </w:numPr>
        <w:tabs>
          <w:tab w:val="left" w:pos="1276"/>
        </w:tabs>
        <w:spacing w:after="120"/>
        <w:ind w:right="777"/>
        <w:rPr>
          <w:rFonts w:ascii="Georgia" w:eastAsiaTheme="minorEastAsia" w:hAnsi="Georgia" w:cs="Arial"/>
          <w:color w:val="323E48"/>
          <w:sz w:val="22"/>
          <w:szCs w:val="18"/>
          <w:lang w:val="en-US" w:bidi="hi-IN"/>
        </w:rPr>
      </w:pPr>
      <w:r w:rsidRPr="0058388A">
        <w:rPr>
          <w:rFonts w:ascii="Georgia" w:eastAsiaTheme="minorEastAsia" w:hAnsi="Georgia" w:cs="Arial"/>
          <w:color w:val="323E48"/>
          <w:sz w:val="22"/>
          <w:szCs w:val="18"/>
          <w:lang w:val="en-US" w:bidi="hi-IN"/>
        </w:rPr>
        <w:t>the deletion of the new fenestration to the northern end of the Cathedral Room either side of the new entry</w:t>
      </w:r>
      <w:r w:rsidR="009E1047">
        <w:rPr>
          <w:rFonts w:ascii="Georgia" w:eastAsiaTheme="minorEastAsia" w:hAnsi="Georgia" w:cs="Arial"/>
          <w:color w:val="323E48"/>
          <w:sz w:val="22"/>
          <w:szCs w:val="18"/>
          <w:lang w:val="en-US" w:bidi="hi-IN"/>
        </w:rPr>
        <w:t>;</w:t>
      </w:r>
    </w:p>
    <w:p w14:paraId="1F79DA67" w14:textId="2510436A" w:rsidR="003315AF" w:rsidRDefault="009E1047">
      <w:pPr>
        <w:pStyle w:val="ListParagraph"/>
        <w:numPr>
          <w:ilvl w:val="0"/>
          <w:numId w:val="25"/>
        </w:numPr>
        <w:tabs>
          <w:tab w:val="left" w:pos="1276"/>
        </w:tabs>
        <w:spacing w:after="120"/>
        <w:ind w:right="777"/>
        <w:rPr>
          <w:rFonts w:ascii="Georgia" w:eastAsiaTheme="minorEastAsia" w:hAnsi="Georgia" w:cs="Arial"/>
          <w:color w:val="323E48"/>
          <w:sz w:val="22"/>
          <w:szCs w:val="18"/>
          <w:lang w:val="en-US" w:bidi="hi-IN"/>
        </w:rPr>
      </w:pPr>
      <w:r>
        <w:rPr>
          <w:rFonts w:ascii="Georgia" w:eastAsiaTheme="minorEastAsia" w:hAnsi="Georgia" w:cs="Arial"/>
          <w:color w:val="323E48"/>
          <w:sz w:val="22"/>
          <w:szCs w:val="18"/>
          <w:lang w:val="en-US" w:bidi="hi-IN"/>
        </w:rPr>
        <w:t>the new entry doors</w:t>
      </w:r>
      <w:r w:rsidR="00392DA6">
        <w:rPr>
          <w:rFonts w:ascii="Georgia" w:eastAsiaTheme="minorEastAsia" w:hAnsi="Georgia" w:cs="Arial"/>
          <w:color w:val="323E48"/>
          <w:sz w:val="22"/>
          <w:szCs w:val="18"/>
          <w:lang w:val="en-US" w:bidi="hi-IN"/>
        </w:rPr>
        <w:t xml:space="preserve"> </w:t>
      </w:r>
      <w:r w:rsidR="008901E6">
        <w:rPr>
          <w:rFonts w:ascii="Georgia" w:eastAsiaTheme="minorEastAsia" w:hAnsi="Georgia" w:cs="Arial"/>
          <w:color w:val="323E48"/>
          <w:sz w:val="22"/>
          <w:szCs w:val="18"/>
          <w:lang w:val="en-US" w:bidi="hi-IN"/>
        </w:rPr>
        <w:t xml:space="preserve">in the northern wall of the Cathedral Room </w:t>
      </w:r>
      <w:r w:rsidR="00392DA6">
        <w:rPr>
          <w:rFonts w:ascii="Georgia" w:eastAsiaTheme="minorEastAsia" w:hAnsi="Georgia" w:cs="Arial"/>
          <w:color w:val="323E48"/>
          <w:sz w:val="22"/>
          <w:szCs w:val="18"/>
          <w:lang w:val="en-US" w:bidi="hi-IN"/>
        </w:rPr>
        <w:t>to be timber framed with glazed panels and</w:t>
      </w:r>
      <w:r w:rsidR="003315AF">
        <w:rPr>
          <w:rFonts w:ascii="Georgia" w:eastAsiaTheme="minorEastAsia" w:hAnsi="Georgia" w:cs="Arial"/>
          <w:color w:val="323E48"/>
          <w:sz w:val="22"/>
          <w:szCs w:val="18"/>
          <w:lang w:val="en-US" w:bidi="hi-IN"/>
        </w:rPr>
        <w:t>:</w:t>
      </w:r>
    </w:p>
    <w:p w14:paraId="4FDF8C90" w14:textId="0506F703" w:rsidR="003315AF" w:rsidRDefault="009E1047" w:rsidP="000F39EF">
      <w:pPr>
        <w:pStyle w:val="ListParagraph"/>
        <w:numPr>
          <w:ilvl w:val="1"/>
          <w:numId w:val="25"/>
        </w:numPr>
        <w:tabs>
          <w:tab w:val="left" w:pos="1276"/>
        </w:tabs>
        <w:spacing w:after="120"/>
        <w:ind w:left="1560" w:right="777"/>
        <w:rPr>
          <w:rFonts w:ascii="Georgia" w:eastAsiaTheme="minorEastAsia" w:hAnsi="Georgia" w:cs="Arial"/>
          <w:color w:val="323E48"/>
          <w:sz w:val="22"/>
          <w:szCs w:val="18"/>
          <w:lang w:val="en-US" w:bidi="hi-IN"/>
        </w:rPr>
      </w:pPr>
      <w:r>
        <w:rPr>
          <w:rFonts w:ascii="Georgia" w:eastAsiaTheme="minorEastAsia" w:hAnsi="Georgia" w:cs="Arial"/>
          <w:color w:val="323E48"/>
          <w:sz w:val="22"/>
          <w:szCs w:val="18"/>
          <w:lang w:val="en-US" w:bidi="hi-IN"/>
        </w:rPr>
        <w:t xml:space="preserve">when viewed from within the Cathedral Room to be </w:t>
      </w:r>
      <w:r w:rsidR="006A7EBE">
        <w:rPr>
          <w:rFonts w:ascii="Georgia" w:eastAsiaTheme="minorEastAsia" w:hAnsi="Georgia" w:cs="Arial"/>
          <w:color w:val="323E48"/>
          <w:sz w:val="22"/>
          <w:szCs w:val="18"/>
          <w:lang w:val="en-US" w:bidi="hi-IN"/>
        </w:rPr>
        <w:t xml:space="preserve">of a design </w:t>
      </w:r>
      <w:r>
        <w:rPr>
          <w:rFonts w:ascii="Georgia" w:eastAsiaTheme="minorEastAsia" w:hAnsi="Georgia" w:cs="Arial"/>
          <w:color w:val="323E48"/>
          <w:sz w:val="22"/>
          <w:szCs w:val="18"/>
          <w:lang w:val="en-US" w:bidi="hi-IN"/>
        </w:rPr>
        <w:t>complementary to the wooden and glass doors at the southern end of that room</w:t>
      </w:r>
      <w:r w:rsidR="006A7EBE">
        <w:rPr>
          <w:rFonts w:ascii="Georgia" w:eastAsiaTheme="minorEastAsia" w:hAnsi="Georgia" w:cs="Arial"/>
          <w:color w:val="323E48"/>
          <w:sz w:val="22"/>
          <w:szCs w:val="18"/>
          <w:lang w:val="en-US" w:bidi="hi-IN"/>
        </w:rPr>
        <w:t xml:space="preserve"> but with a simplified timber </w:t>
      </w:r>
      <w:proofErr w:type="spellStart"/>
      <w:r w:rsidR="006A7EBE">
        <w:rPr>
          <w:rFonts w:ascii="Georgia" w:eastAsiaTheme="minorEastAsia" w:hAnsi="Georgia" w:cs="Arial"/>
          <w:color w:val="323E48"/>
          <w:sz w:val="22"/>
          <w:szCs w:val="18"/>
          <w:lang w:val="en-US" w:bidi="hi-IN"/>
        </w:rPr>
        <w:t>moulding</w:t>
      </w:r>
      <w:proofErr w:type="spellEnd"/>
      <w:r w:rsidR="006A7EBE">
        <w:rPr>
          <w:rFonts w:ascii="Georgia" w:eastAsiaTheme="minorEastAsia" w:hAnsi="Georgia" w:cs="Arial"/>
          <w:color w:val="323E48"/>
          <w:sz w:val="22"/>
          <w:szCs w:val="18"/>
          <w:lang w:val="en-US" w:bidi="hi-IN"/>
        </w:rPr>
        <w:t xml:space="preserve"> profile</w:t>
      </w:r>
      <w:r w:rsidR="003315AF">
        <w:rPr>
          <w:rFonts w:ascii="Georgia" w:eastAsiaTheme="minorEastAsia" w:hAnsi="Georgia" w:cs="Arial"/>
          <w:color w:val="323E48"/>
          <w:sz w:val="22"/>
          <w:szCs w:val="18"/>
          <w:lang w:val="en-US" w:bidi="hi-IN"/>
        </w:rPr>
        <w:t>; and</w:t>
      </w:r>
    </w:p>
    <w:p w14:paraId="6B8B5CD3" w14:textId="773ED7BF" w:rsidR="003315AF" w:rsidRDefault="003315AF" w:rsidP="000F39EF">
      <w:pPr>
        <w:pStyle w:val="ListParagraph"/>
        <w:numPr>
          <w:ilvl w:val="1"/>
          <w:numId w:val="25"/>
        </w:numPr>
        <w:tabs>
          <w:tab w:val="left" w:pos="1276"/>
        </w:tabs>
        <w:spacing w:after="120"/>
        <w:ind w:left="1560" w:right="777"/>
        <w:rPr>
          <w:rFonts w:ascii="Georgia" w:eastAsiaTheme="minorEastAsia" w:hAnsi="Georgia" w:cs="Arial"/>
          <w:color w:val="323E48"/>
          <w:sz w:val="22"/>
          <w:szCs w:val="18"/>
          <w:lang w:val="en-US" w:bidi="hi-IN"/>
        </w:rPr>
      </w:pPr>
      <w:r>
        <w:rPr>
          <w:rFonts w:ascii="Georgia" w:eastAsiaTheme="minorEastAsia" w:hAnsi="Georgia" w:cs="Arial"/>
          <w:color w:val="323E48"/>
          <w:sz w:val="22"/>
          <w:szCs w:val="18"/>
          <w:lang w:val="en-US" w:bidi="hi-IN"/>
        </w:rPr>
        <w:t>when viewed from the exterior</w:t>
      </w:r>
      <w:r w:rsidR="008901E6">
        <w:rPr>
          <w:rFonts w:ascii="Georgia" w:eastAsiaTheme="minorEastAsia" w:hAnsi="Georgia" w:cs="Arial"/>
          <w:color w:val="323E48"/>
          <w:sz w:val="22"/>
          <w:szCs w:val="18"/>
          <w:lang w:val="en-US" w:bidi="hi-IN"/>
        </w:rPr>
        <w:t xml:space="preserve"> of the building</w:t>
      </w:r>
      <w:r>
        <w:rPr>
          <w:rFonts w:ascii="Georgia" w:eastAsiaTheme="minorEastAsia" w:hAnsi="Georgia" w:cs="Arial"/>
          <w:color w:val="323E48"/>
          <w:sz w:val="22"/>
          <w:szCs w:val="18"/>
          <w:lang w:val="en-US" w:bidi="hi-IN"/>
        </w:rPr>
        <w:t xml:space="preserve">, </w:t>
      </w:r>
      <w:r w:rsidRPr="00B65C5E">
        <w:rPr>
          <w:rFonts w:ascii="Georgia" w:eastAsiaTheme="minorEastAsia" w:hAnsi="Georgia" w:cs="Arial"/>
          <w:color w:val="323E48"/>
          <w:sz w:val="22"/>
          <w:szCs w:val="18"/>
          <w:lang w:val="en-US" w:bidi="hi-IN"/>
        </w:rPr>
        <w:t>complementary to both the heritage building and the urban design of the exterior space</w:t>
      </w:r>
      <w:r>
        <w:rPr>
          <w:rFonts w:ascii="Georgia" w:eastAsiaTheme="minorEastAsia" w:hAnsi="Georgia" w:cs="Arial"/>
          <w:color w:val="323E48"/>
          <w:sz w:val="22"/>
          <w:szCs w:val="18"/>
          <w:lang w:val="en-US" w:bidi="hi-IN"/>
        </w:rPr>
        <w:t xml:space="preserve"> </w:t>
      </w:r>
    </w:p>
    <w:p w14:paraId="2860E67F" w14:textId="2880DF07" w:rsidR="00173A4F" w:rsidRPr="0058388A" w:rsidRDefault="009E1047">
      <w:pPr>
        <w:tabs>
          <w:tab w:val="left" w:pos="1276"/>
        </w:tabs>
        <w:spacing w:after="120"/>
        <w:ind w:right="777"/>
        <w:rPr>
          <w:rFonts w:ascii="Georgia" w:eastAsiaTheme="minorEastAsia" w:hAnsi="Georgia" w:cs="Arial"/>
          <w:color w:val="323E48"/>
          <w:sz w:val="22"/>
          <w:szCs w:val="18"/>
          <w:lang w:val="en-US" w:bidi="hi-IN"/>
        </w:rPr>
      </w:pPr>
      <w:r w:rsidRPr="009913B6">
        <w:rPr>
          <w:rFonts w:ascii="Georgia" w:eastAsiaTheme="minorEastAsia" w:hAnsi="Georgia" w:cs="Arial"/>
          <w:color w:val="323E48"/>
          <w:sz w:val="22"/>
          <w:szCs w:val="18"/>
          <w:lang w:val="en-US" w:bidi="hi-IN"/>
        </w:rPr>
        <w:t>to the satisfaction of the Executive Director.</w:t>
      </w:r>
    </w:p>
    <w:p w14:paraId="03B19950" w14:textId="77777777" w:rsidR="00173A4F" w:rsidRPr="00173A4F" w:rsidRDefault="00173A4F" w:rsidP="00173A4F">
      <w:pPr>
        <w:tabs>
          <w:tab w:val="left" w:pos="1276"/>
        </w:tabs>
        <w:spacing w:after="120"/>
        <w:ind w:right="777"/>
        <w:rPr>
          <w:rFonts w:ascii="Georgia" w:eastAsiaTheme="minorEastAsia" w:hAnsi="Georgia" w:cs="Arial"/>
          <w:color w:val="323E48"/>
          <w:sz w:val="22"/>
          <w:szCs w:val="18"/>
          <w:lang w:val="en-US" w:bidi="hi-IN"/>
        </w:rPr>
      </w:pPr>
    </w:p>
    <w:p w14:paraId="1AB44B4D" w14:textId="77777777" w:rsidR="00173A4F" w:rsidRPr="00173A4F" w:rsidRDefault="00173A4F" w:rsidP="00173A4F">
      <w:pPr>
        <w:tabs>
          <w:tab w:val="left" w:pos="1276"/>
        </w:tabs>
        <w:spacing w:after="120"/>
        <w:ind w:right="777"/>
        <w:rPr>
          <w:rFonts w:ascii="Arial" w:eastAsiaTheme="minorEastAsia" w:hAnsi="Arial" w:cs="Arial"/>
          <w:color w:val="323E48"/>
          <w:sz w:val="22"/>
          <w:szCs w:val="18"/>
          <w:lang w:val="en-US" w:bidi="hi-IN"/>
        </w:rPr>
      </w:pPr>
    </w:p>
    <w:sectPr w:rsidR="00173A4F" w:rsidRPr="00173A4F" w:rsidSect="00C0640D">
      <w:pgSz w:w="11907" w:h="16840" w:code="9"/>
      <w:pgMar w:top="1702"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A2C8" w14:textId="77777777" w:rsidR="000066CC" w:rsidRDefault="000066CC">
      <w:r>
        <w:separator/>
      </w:r>
    </w:p>
  </w:endnote>
  <w:endnote w:type="continuationSeparator" w:id="0">
    <w:p w14:paraId="6E592B63" w14:textId="77777777" w:rsidR="000066CC" w:rsidRDefault="000066CC">
      <w:r>
        <w:continuationSeparator/>
      </w:r>
    </w:p>
  </w:endnote>
  <w:endnote w:type="continuationNotice" w:id="1">
    <w:p w14:paraId="224B94AA" w14:textId="77777777" w:rsidR="000066CC" w:rsidRDefault="0000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5CCD29B0" w:rsidR="00B2315B" w:rsidRPr="009E269F" w:rsidRDefault="00B2315B">
        <w:pPr>
          <w:pStyle w:val="Footer"/>
          <w:jc w:val="right"/>
          <w:rPr>
            <w:rFonts w:ascii="Arial" w:hAnsi="Arial" w:cs="Arial"/>
            <w:sz w:val="18"/>
          </w:rPr>
        </w:pPr>
        <w:r w:rsidRPr="009E269F">
          <w:rPr>
            <w:rFonts w:ascii="Arial" w:hAnsi="Arial" w:cs="Arial"/>
            <w:sz w:val="18"/>
          </w:rPr>
          <w:fldChar w:fldCharType="begin"/>
        </w:r>
        <w:r w:rsidRPr="009E269F">
          <w:rPr>
            <w:rFonts w:ascii="Arial" w:hAnsi="Arial" w:cs="Arial"/>
            <w:sz w:val="18"/>
          </w:rPr>
          <w:instrText xml:space="preserve"> PAGE   \* MERGEFORMAT </w:instrText>
        </w:r>
        <w:r w:rsidRPr="009E269F">
          <w:rPr>
            <w:rFonts w:ascii="Arial" w:hAnsi="Arial" w:cs="Arial"/>
            <w:sz w:val="18"/>
          </w:rPr>
          <w:fldChar w:fldCharType="separate"/>
        </w:r>
        <w:r>
          <w:rPr>
            <w:rFonts w:ascii="Arial" w:hAnsi="Arial" w:cs="Arial"/>
            <w:noProof/>
            <w:sz w:val="18"/>
          </w:rPr>
          <w:t>20</w:t>
        </w:r>
        <w:r w:rsidRPr="009E269F">
          <w:rPr>
            <w:rFonts w:ascii="Arial" w:hAnsi="Arial" w:cs="Arial"/>
            <w:noProof/>
            <w:sz w:val="18"/>
          </w:rPr>
          <w:fldChar w:fldCharType="end"/>
        </w:r>
      </w:p>
    </w:sdtContent>
  </w:sdt>
  <w:p w14:paraId="7FE83D10" w14:textId="335F0DB9" w:rsidR="00B2315B" w:rsidRPr="00223A70" w:rsidRDefault="00B55DD5" w:rsidP="00F279D5">
    <w:pPr>
      <w:pStyle w:val="Footer"/>
      <w:rPr>
        <w:rFonts w:ascii="Arial" w:hAnsi="Arial" w:cs="Arial"/>
        <w:sz w:val="18"/>
      </w:rPr>
    </w:pPr>
    <w:r>
      <w:rPr>
        <w:rStyle w:val="PageNumber"/>
        <w:rFonts w:ascii="Arial" w:hAnsi="Arial" w:cs="Arial"/>
        <w:sz w:val="18"/>
      </w:rPr>
      <w:t>2</w:t>
    </w:r>
    <w:r w:rsidR="00B2315B">
      <w:rPr>
        <w:rStyle w:val="PageNumber"/>
        <w:rFonts w:ascii="Arial" w:hAnsi="Arial" w:cs="Arial"/>
        <w:sz w:val="18"/>
      </w:rPr>
      <w:t xml:space="preserve"> </w:t>
    </w:r>
    <w:r>
      <w:rPr>
        <w:rStyle w:val="PageNumber"/>
        <w:rFonts w:ascii="Arial" w:hAnsi="Arial" w:cs="Arial"/>
        <w:sz w:val="18"/>
      </w:rPr>
      <w:t>September</w:t>
    </w:r>
    <w:r w:rsidR="00B2315B" w:rsidRPr="00E342EC">
      <w:rPr>
        <w:rStyle w:val="PageNumber"/>
        <w:rFonts w:ascii="Arial" w:hAnsi="Arial" w:cs="Arial"/>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46B73625" w:rsidR="00B2315B" w:rsidRPr="009471FB" w:rsidRDefault="00B2315B">
        <w:pPr>
          <w:pStyle w:val="Footer"/>
          <w:jc w:val="right"/>
          <w:rPr>
            <w:rFonts w:ascii="Arial" w:hAnsi="Arial" w:cs="Arial"/>
            <w:sz w:val="18"/>
          </w:rPr>
        </w:pPr>
        <w:r w:rsidRPr="009471FB">
          <w:rPr>
            <w:rFonts w:ascii="Arial" w:hAnsi="Arial" w:cs="Arial"/>
            <w:sz w:val="18"/>
          </w:rPr>
          <w:fldChar w:fldCharType="begin"/>
        </w:r>
        <w:r w:rsidRPr="009471FB">
          <w:rPr>
            <w:rFonts w:ascii="Arial" w:hAnsi="Arial" w:cs="Arial"/>
            <w:sz w:val="18"/>
          </w:rPr>
          <w:instrText xml:space="preserve"> PAGE   \* MERGEFORMAT </w:instrText>
        </w:r>
        <w:r w:rsidRPr="009471FB">
          <w:rPr>
            <w:rFonts w:ascii="Arial" w:hAnsi="Arial" w:cs="Arial"/>
            <w:sz w:val="18"/>
          </w:rPr>
          <w:fldChar w:fldCharType="separate"/>
        </w:r>
        <w:r>
          <w:rPr>
            <w:rFonts w:ascii="Arial" w:hAnsi="Arial" w:cs="Arial"/>
            <w:noProof/>
            <w:sz w:val="18"/>
          </w:rPr>
          <w:t>23</w:t>
        </w:r>
        <w:r w:rsidRPr="009471FB">
          <w:rPr>
            <w:rFonts w:ascii="Arial" w:hAnsi="Arial" w:cs="Arial"/>
            <w:noProof/>
            <w:sz w:val="18"/>
          </w:rPr>
          <w:fldChar w:fldCharType="end"/>
        </w:r>
      </w:p>
    </w:sdtContent>
  </w:sdt>
  <w:p w14:paraId="3E578E22" w14:textId="10848A3E" w:rsidR="00B2315B" w:rsidRPr="00E342EC" w:rsidRDefault="000A2863" w:rsidP="00F279D5">
    <w:pPr>
      <w:pStyle w:val="Footer"/>
      <w:rPr>
        <w:rFonts w:ascii="Arial" w:hAnsi="Arial" w:cs="Arial"/>
        <w:sz w:val="18"/>
      </w:rPr>
    </w:pPr>
    <w:r>
      <w:rPr>
        <w:rStyle w:val="PageNumber"/>
        <w:rFonts w:ascii="Arial" w:hAnsi="Arial" w:cs="Arial"/>
        <w:sz w:val="18"/>
      </w:rPr>
      <w:t>2</w:t>
    </w:r>
    <w:r w:rsidR="00B2315B">
      <w:rPr>
        <w:rStyle w:val="PageNumber"/>
        <w:rFonts w:ascii="Arial" w:hAnsi="Arial" w:cs="Arial"/>
        <w:sz w:val="18"/>
      </w:rPr>
      <w:t xml:space="preserve"> </w:t>
    </w:r>
    <w:r>
      <w:rPr>
        <w:rStyle w:val="PageNumber"/>
        <w:rFonts w:ascii="Arial" w:hAnsi="Arial" w:cs="Arial"/>
        <w:sz w:val="18"/>
      </w:rPr>
      <w:t>September</w:t>
    </w:r>
    <w:r w:rsidR="00B2315B" w:rsidRPr="00E342EC">
      <w:rPr>
        <w:rStyle w:val="PageNumbe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7828B000" w:rsidR="00B2315B" w:rsidRPr="00E342EC" w:rsidRDefault="00B65C5E" w:rsidP="00E342EC">
    <w:pPr>
      <w:pStyle w:val="Footer"/>
      <w:rPr>
        <w:rFonts w:ascii="Arial" w:hAnsi="Arial" w:cs="Arial"/>
        <w:sz w:val="18"/>
      </w:rPr>
    </w:pPr>
    <w:r>
      <w:rPr>
        <w:rStyle w:val="PageNumber"/>
        <w:rFonts w:ascii="Arial" w:hAnsi="Arial" w:cs="Arial"/>
        <w:sz w:val="18"/>
      </w:rPr>
      <w:t>2</w:t>
    </w:r>
    <w:r w:rsidR="00B2315B">
      <w:rPr>
        <w:rStyle w:val="PageNumber"/>
        <w:rFonts w:ascii="Arial" w:hAnsi="Arial" w:cs="Arial"/>
        <w:sz w:val="18"/>
      </w:rPr>
      <w:t xml:space="preserve"> </w:t>
    </w:r>
    <w:r>
      <w:rPr>
        <w:rStyle w:val="PageNumber"/>
        <w:rFonts w:ascii="Arial" w:hAnsi="Arial" w:cs="Arial"/>
        <w:sz w:val="18"/>
      </w:rPr>
      <w:t>September</w:t>
    </w:r>
    <w:r w:rsidR="00B2315B" w:rsidRPr="00E342EC">
      <w:rPr>
        <w:rStyle w:val="PageNumbe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F9B4" w14:textId="77777777" w:rsidR="000066CC" w:rsidRDefault="000066CC">
      <w:r>
        <w:separator/>
      </w:r>
    </w:p>
  </w:footnote>
  <w:footnote w:type="continuationSeparator" w:id="0">
    <w:p w14:paraId="1DA88FDF" w14:textId="77777777" w:rsidR="000066CC" w:rsidRDefault="000066CC">
      <w:r>
        <w:continuationSeparator/>
      </w:r>
    </w:p>
  </w:footnote>
  <w:footnote w:type="continuationNotice" w:id="1">
    <w:p w14:paraId="417320BC" w14:textId="77777777" w:rsidR="000066CC" w:rsidRDefault="000066CC"/>
  </w:footnote>
  <w:footnote w:id="2">
    <w:p w14:paraId="1C0CA998" w14:textId="1661BF37" w:rsidR="00B2315B" w:rsidRPr="009A3C37" w:rsidRDefault="00B2315B" w:rsidP="0058388A">
      <w:pPr>
        <w:pStyle w:val="FootnoteText"/>
        <w:ind w:left="142" w:hanging="142"/>
        <w:rPr>
          <w:rFonts w:ascii="Arial" w:hAnsi="Arial" w:cs="Arial"/>
        </w:rPr>
      </w:pPr>
      <w:r w:rsidRPr="009A3C37">
        <w:rPr>
          <w:rStyle w:val="FootnoteReference"/>
          <w:rFonts w:ascii="Arial" w:hAnsi="Arial" w:cs="Arial"/>
          <w:color w:val="323E48"/>
        </w:rPr>
        <w:footnoteRef/>
      </w:r>
      <w:r w:rsidRPr="009A3C37">
        <w:rPr>
          <w:rFonts w:ascii="Arial" w:hAnsi="Arial" w:cs="Arial"/>
          <w:color w:val="323E48"/>
        </w:rPr>
        <w:t xml:space="preserve"> Peter Lovell’s expert evidence of June 2019 for the review hearing notes that this statement of significance is notated as last updated in 1999.</w:t>
      </w:r>
    </w:p>
  </w:footnote>
  <w:footnote w:id="3">
    <w:p w14:paraId="04264AD4" w14:textId="0B318987" w:rsidR="00B2315B" w:rsidRDefault="00B2315B">
      <w:pPr>
        <w:pStyle w:val="FootnoteText"/>
      </w:pPr>
      <w:r>
        <w:rPr>
          <w:rStyle w:val="FootnoteReference"/>
        </w:rPr>
        <w:footnoteRef/>
      </w:r>
      <w:r>
        <w:t xml:space="preserve"> </w:t>
      </w:r>
      <w:r w:rsidRPr="009A3C37">
        <w:rPr>
          <w:rFonts w:ascii="Arial" w:hAnsi="Arial" w:cs="Arial"/>
          <w:color w:val="323E48"/>
        </w:rPr>
        <w:t>Also those above the entry corridor and Exchange Hall were closed off at this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B2315B" w:rsidRDefault="00B2315B">
    <w:pPr>
      <w:pStyle w:val="Header"/>
    </w:pPr>
    <w:r>
      <w:rPr>
        <w:noProof/>
        <w:lang w:eastAsia="en-AU"/>
      </w:rPr>
      <w:drawing>
        <wp:anchor distT="0" distB="0" distL="114300" distR="114300" simplePos="0" relativeHeight="251658242"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B2315B" w:rsidRDefault="00B2315B">
    <w:pPr>
      <w:pStyle w:val="Header"/>
    </w:pPr>
    <w:r>
      <w:rPr>
        <w:noProof/>
        <w:lang w:eastAsia="en-AU"/>
      </w:rPr>
      <w:drawing>
        <wp:anchor distT="0" distB="0" distL="114300" distR="114300" simplePos="0" relativeHeight="251658241" behindDoc="1" locked="0" layoutInCell="1" allowOverlap="1" wp14:anchorId="45B44BA0" wp14:editId="12ABD50B">
          <wp:simplePos x="0" y="0"/>
          <wp:positionH relativeFrom="column">
            <wp:posOffset>4690745</wp:posOffset>
          </wp:positionH>
          <wp:positionV relativeFrom="paragraph">
            <wp:posOffset>-75565</wp:posOffset>
          </wp:positionV>
          <wp:extent cx="1220162" cy="6917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B2315B" w:rsidRDefault="00B2315B">
    <w:pPr>
      <w:pStyle w:val="Header"/>
    </w:pPr>
    <w:r>
      <w:rPr>
        <w:noProof/>
        <w:lang w:eastAsia="en-AU"/>
      </w:rPr>
      <w:drawing>
        <wp:anchor distT="0" distB="0" distL="114300" distR="114300" simplePos="0" relativeHeight="251658240" behindDoc="1" locked="0" layoutInCell="1" allowOverlap="1" wp14:anchorId="649D3DF5" wp14:editId="7D79D32F">
          <wp:simplePos x="0" y="0"/>
          <wp:positionH relativeFrom="column">
            <wp:posOffset>5006340</wp:posOffset>
          </wp:positionH>
          <wp:positionV relativeFrom="paragraph">
            <wp:posOffset>-45720</wp:posOffset>
          </wp:positionV>
          <wp:extent cx="1181100" cy="66951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695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410"/>
    <w:multiLevelType w:val="hybridMultilevel"/>
    <w:tmpl w:val="81DC460A"/>
    <w:lvl w:ilvl="0" w:tplc="53B6CDB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EEB7DB5"/>
    <w:multiLevelType w:val="hybridMultilevel"/>
    <w:tmpl w:val="BFA489D2"/>
    <w:lvl w:ilvl="0" w:tplc="BCF6A9A0">
      <w:start w:val="2"/>
      <w:numFmt w:val="decimal"/>
      <w:lvlText w:val="0%1."/>
      <w:lvlJc w:val="left"/>
      <w:pPr>
        <w:ind w:left="720" w:hanging="360"/>
      </w:pPr>
      <w:rPr>
        <w:rFonts w:hint="default"/>
        <w:b/>
        <w:i w:val="0"/>
        <w:iCs/>
        <w:color w:val="A40016"/>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63678"/>
    <w:multiLevelType w:val="hybridMultilevel"/>
    <w:tmpl w:val="FE92EE5C"/>
    <w:lvl w:ilvl="0" w:tplc="0C090017">
      <w:start w:val="1"/>
      <w:numFmt w:val="decimal"/>
      <w:lvlText w:val="0%1."/>
      <w:lvlJc w:val="left"/>
      <w:pPr>
        <w:ind w:left="2771" w:hanging="360"/>
      </w:pPr>
      <w:rPr>
        <w:rFonts w:hint="default"/>
        <w:b/>
        <w:i w:val="0"/>
        <w:iCs/>
        <w:color w:val="A40016"/>
        <w:sz w:val="22"/>
        <w:szCs w:val="17"/>
      </w:rPr>
    </w:lvl>
    <w:lvl w:ilvl="1" w:tplc="0C090001">
      <w:start w:val="1"/>
      <w:numFmt w:val="bullet"/>
      <w:lvlText w:val=""/>
      <w:lvlJc w:val="left"/>
      <w:pPr>
        <w:ind w:left="2471" w:hanging="360"/>
      </w:pPr>
      <w:rPr>
        <w:rFonts w:ascii="Symbol" w:hAnsi="Symbol" w:hint="default"/>
      </w:rPr>
    </w:lvl>
    <w:lvl w:ilvl="2" w:tplc="04090005">
      <w:start w:val="1"/>
      <w:numFmt w:val="bullet"/>
      <w:lvlText w:val=""/>
      <w:lvlJc w:val="left"/>
      <w:pPr>
        <w:ind w:left="3191" w:hanging="360"/>
      </w:pPr>
      <w:rPr>
        <w:rFonts w:ascii="Wingdings" w:hAnsi="Wingdings" w:hint="default"/>
      </w:rPr>
    </w:lvl>
    <w:lvl w:ilvl="3" w:tplc="0409000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3" w15:restartNumberingAfterBreak="0">
    <w:nsid w:val="183C77DC"/>
    <w:multiLevelType w:val="hybridMultilevel"/>
    <w:tmpl w:val="C90A06CE"/>
    <w:lvl w:ilvl="0" w:tplc="D8B2DCD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D8E188F"/>
    <w:multiLevelType w:val="hybridMultilevel"/>
    <w:tmpl w:val="A080F6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545C48"/>
    <w:multiLevelType w:val="hybridMultilevel"/>
    <w:tmpl w:val="E69A247E"/>
    <w:lvl w:ilvl="0" w:tplc="16586D7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22751"/>
    <w:multiLevelType w:val="hybridMultilevel"/>
    <w:tmpl w:val="38880CE6"/>
    <w:lvl w:ilvl="0" w:tplc="04090017">
      <w:start w:val="1"/>
      <w:numFmt w:val="lowerLetter"/>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EC8782F"/>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8" w15:restartNumberingAfterBreak="0">
    <w:nsid w:val="396921E0"/>
    <w:multiLevelType w:val="hybridMultilevel"/>
    <w:tmpl w:val="91EC743C"/>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A853DA4"/>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0" w15:restartNumberingAfterBreak="0">
    <w:nsid w:val="3C9F70F4"/>
    <w:multiLevelType w:val="hybridMultilevel"/>
    <w:tmpl w:val="1082A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673D8D"/>
    <w:multiLevelType w:val="hybridMultilevel"/>
    <w:tmpl w:val="F55098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912089B"/>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3" w15:restartNumberingAfterBreak="0">
    <w:nsid w:val="4F373A38"/>
    <w:multiLevelType w:val="hybridMultilevel"/>
    <w:tmpl w:val="FD90156E"/>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52B3557B"/>
    <w:multiLevelType w:val="hybridMultilevel"/>
    <w:tmpl w:val="64A0D5C4"/>
    <w:lvl w:ilvl="0" w:tplc="0C090017">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578C4FC0"/>
    <w:multiLevelType w:val="hybridMultilevel"/>
    <w:tmpl w:val="34F4CB2A"/>
    <w:lvl w:ilvl="0" w:tplc="0DAA8440">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6"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17" w15:restartNumberingAfterBreak="0">
    <w:nsid w:val="5E5644F1"/>
    <w:multiLevelType w:val="hybridMultilevel"/>
    <w:tmpl w:val="67E67DC6"/>
    <w:lvl w:ilvl="0" w:tplc="C1488EF8">
      <w:start w:val="1"/>
      <w:numFmt w:val="decimal"/>
      <w:lvlText w:val="0%1."/>
      <w:lvlJc w:val="left"/>
      <w:pPr>
        <w:ind w:left="924" w:hanging="357"/>
      </w:pPr>
      <w:rPr>
        <w:rFonts w:hint="default"/>
        <w:b/>
        <w:i w:val="0"/>
        <w:iCs/>
        <w:color w:val="A40016"/>
        <w:sz w:val="22"/>
        <w:szCs w:val="17"/>
      </w:rPr>
    </w:lvl>
    <w:lvl w:ilvl="1" w:tplc="0C090001">
      <w:start w:val="1"/>
      <w:numFmt w:val="bullet"/>
      <w:lvlText w:val=""/>
      <w:lvlJc w:val="left"/>
      <w:pPr>
        <w:ind w:left="60" w:hanging="360"/>
      </w:pPr>
      <w:rPr>
        <w:rFonts w:ascii="Symbol" w:hAnsi="Symbol" w:hint="default"/>
      </w:rPr>
    </w:lvl>
    <w:lvl w:ilvl="2" w:tplc="04090005">
      <w:start w:val="1"/>
      <w:numFmt w:val="bullet"/>
      <w:lvlText w:val=""/>
      <w:lvlJc w:val="left"/>
      <w:pPr>
        <w:ind w:left="780" w:hanging="360"/>
      </w:pPr>
      <w:rPr>
        <w:rFonts w:ascii="Wingdings" w:hAnsi="Wingdings" w:hint="default"/>
      </w:rPr>
    </w:lvl>
    <w:lvl w:ilvl="3" w:tplc="0409000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18" w15:restartNumberingAfterBreak="0">
    <w:nsid w:val="5F02202C"/>
    <w:multiLevelType w:val="hybridMultilevel"/>
    <w:tmpl w:val="D9B45086"/>
    <w:lvl w:ilvl="0" w:tplc="BCF6A9A0">
      <w:start w:val="2"/>
      <w:numFmt w:val="decimal"/>
      <w:lvlText w:val="0%1."/>
      <w:lvlJc w:val="left"/>
      <w:pPr>
        <w:ind w:left="720" w:hanging="360"/>
      </w:pPr>
      <w:rPr>
        <w:rFonts w:hint="default"/>
        <w:b/>
        <w:i w:val="0"/>
        <w:iCs/>
        <w:color w:val="A40016"/>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94A03"/>
    <w:multiLevelType w:val="hybridMultilevel"/>
    <w:tmpl w:val="9628FF6A"/>
    <w:lvl w:ilvl="0" w:tplc="256E36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64D763B3"/>
    <w:multiLevelType w:val="hybridMultilevel"/>
    <w:tmpl w:val="BA0AA87E"/>
    <w:lvl w:ilvl="0" w:tplc="F44ED5D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6517E3D"/>
    <w:multiLevelType w:val="hybridMultilevel"/>
    <w:tmpl w:val="8BFCE88E"/>
    <w:lvl w:ilvl="0" w:tplc="BCF6A9A0">
      <w:start w:val="2"/>
      <w:numFmt w:val="decimal"/>
      <w:lvlText w:val="0%1."/>
      <w:lvlJc w:val="left"/>
      <w:pPr>
        <w:ind w:left="720" w:hanging="360"/>
      </w:pPr>
      <w:rPr>
        <w:rFonts w:hint="default"/>
        <w:b/>
        <w:i w:val="0"/>
        <w:iCs/>
        <w:color w:val="A40016"/>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B0E89"/>
    <w:multiLevelType w:val="hybridMultilevel"/>
    <w:tmpl w:val="CFDA720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69DC6E66"/>
    <w:multiLevelType w:val="hybridMultilevel"/>
    <w:tmpl w:val="5D503A72"/>
    <w:lvl w:ilvl="0" w:tplc="0C090017">
      <w:start w:val="1"/>
      <w:numFmt w:val="lowerLetter"/>
      <w:lvlText w:val="%1)"/>
      <w:lvlJc w:val="left"/>
      <w:pPr>
        <w:ind w:left="1080" w:hanging="360"/>
      </w:pPr>
      <w:rPr>
        <w:rFonts w:hint="default"/>
        <w:i/>
      </w:rPr>
    </w:lvl>
    <w:lvl w:ilvl="1" w:tplc="0C090017">
      <w:start w:val="1"/>
      <w:numFmt w:val="lowerLetter"/>
      <w:lvlText w:val="%2)"/>
      <w:lvlJc w:val="left"/>
      <w:pPr>
        <w:ind w:left="1800" w:hanging="360"/>
      </w:pPr>
    </w:lvl>
    <w:lvl w:ilvl="2" w:tplc="C3AC195E">
      <w:start w:val="1"/>
      <w:numFmt w:val="decimal"/>
      <w:lvlText w:val="%3."/>
      <w:lvlJc w:val="left"/>
      <w:pPr>
        <w:ind w:left="2700" w:hanging="360"/>
      </w:pPr>
      <w:rPr>
        <w:rFonts w:hint="default"/>
      </w:rPr>
    </w:lvl>
    <w:lvl w:ilvl="3" w:tplc="AA645DD2">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BFF596B"/>
    <w:multiLevelType w:val="hybridMultilevel"/>
    <w:tmpl w:val="331E710E"/>
    <w:lvl w:ilvl="0" w:tplc="EE62C92E">
      <w:start w:val="1"/>
      <w:numFmt w:val="lowerLetter"/>
      <w:lvlText w:val="%1)"/>
      <w:lvlJc w:val="left"/>
      <w:pPr>
        <w:ind w:left="79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815EA0"/>
    <w:multiLevelType w:val="hybridMultilevel"/>
    <w:tmpl w:val="E42AA54E"/>
    <w:lvl w:ilvl="0" w:tplc="BCF6A9A0">
      <w:start w:val="2"/>
      <w:numFmt w:val="decimal"/>
      <w:lvlText w:val="0%1."/>
      <w:lvlJc w:val="left"/>
      <w:pPr>
        <w:ind w:left="720" w:hanging="360"/>
      </w:pPr>
      <w:rPr>
        <w:rFonts w:hint="default"/>
        <w:b/>
        <w:i w:val="0"/>
        <w:iCs/>
        <w:color w:val="A40016"/>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03BB2"/>
    <w:multiLevelType w:val="hybridMultilevel"/>
    <w:tmpl w:val="B08670DE"/>
    <w:lvl w:ilvl="0" w:tplc="BCF6A9A0">
      <w:start w:val="2"/>
      <w:numFmt w:val="decimal"/>
      <w:lvlText w:val="0%1."/>
      <w:lvlJc w:val="left"/>
      <w:pPr>
        <w:ind w:left="1500" w:hanging="360"/>
      </w:pPr>
      <w:rPr>
        <w:rFonts w:hint="default"/>
        <w:b/>
        <w:i w:val="0"/>
        <w:iCs/>
        <w:color w:val="A40016"/>
        <w:sz w:val="22"/>
        <w:szCs w:val="17"/>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91026EC"/>
    <w:multiLevelType w:val="hybridMultilevel"/>
    <w:tmpl w:val="CFDA720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7A4E4552"/>
    <w:multiLevelType w:val="hybridMultilevel"/>
    <w:tmpl w:val="CCAC9776"/>
    <w:lvl w:ilvl="0" w:tplc="1D80080E">
      <w:start w:val="1"/>
      <w:numFmt w:val="lowerLetter"/>
      <w:lvlText w:val="%1)"/>
      <w:lvlJc w:val="left"/>
      <w:pPr>
        <w:ind w:left="786" w:hanging="360"/>
      </w:pPr>
      <w:rPr>
        <w:rFonts w:ascii="Arial" w:eastAsiaTheme="minorEastAsia"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7BA70A1C"/>
    <w:multiLevelType w:val="hybridMultilevel"/>
    <w:tmpl w:val="028E849E"/>
    <w:lvl w:ilvl="0" w:tplc="BCF6A9A0">
      <w:start w:val="2"/>
      <w:numFmt w:val="decimal"/>
      <w:lvlText w:val="0%1."/>
      <w:lvlJc w:val="left"/>
      <w:pPr>
        <w:ind w:left="720" w:hanging="360"/>
      </w:pPr>
      <w:rPr>
        <w:rFonts w:hint="default"/>
        <w:b/>
        <w:i w:val="0"/>
        <w:iCs/>
        <w:color w:val="A40016"/>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55E39"/>
    <w:multiLevelType w:val="hybridMultilevel"/>
    <w:tmpl w:val="52D071C6"/>
    <w:lvl w:ilvl="0" w:tplc="E69CA77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6"/>
  </w:num>
  <w:num w:numId="2">
    <w:abstractNumId w:val="17"/>
  </w:num>
  <w:num w:numId="3">
    <w:abstractNumId w:val="17"/>
  </w:num>
  <w:num w:numId="4">
    <w:abstractNumId w:val="4"/>
  </w:num>
  <w:num w:numId="5">
    <w:abstractNumId w:val="27"/>
  </w:num>
  <w:num w:numId="6">
    <w:abstractNumId w:val="22"/>
  </w:num>
  <w:num w:numId="7">
    <w:abstractNumId w:val="13"/>
  </w:num>
  <w:num w:numId="8">
    <w:abstractNumId w:val="28"/>
  </w:num>
  <w:num w:numId="9">
    <w:abstractNumId w:val="20"/>
  </w:num>
  <w:num w:numId="10">
    <w:abstractNumId w:val="15"/>
  </w:num>
  <w:num w:numId="11">
    <w:abstractNumId w:val="14"/>
  </w:num>
  <w:num w:numId="12">
    <w:abstractNumId w:val="8"/>
  </w:num>
  <w:num w:numId="13">
    <w:abstractNumId w:val="24"/>
  </w:num>
  <w:num w:numId="14">
    <w:abstractNumId w:val="7"/>
  </w:num>
  <w:num w:numId="15">
    <w:abstractNumId w:val="0"/>
  </w:num>
  <w:num w:numId="16">
    <w:abstractNumId w:val="9"/>
  </w:num>
  <w:num w:numId="17">
    <w:abstractNumId w:val="12"/>
  </w:num>
  <w:num w:numId="18">
    <w:abstractNumId w:val="23"/>
  </w:num>
  <w:num w:numId="19">
    <w:abstractNumId w:val="10"/>
  </w:num>
  <w:num w:numId="20">
    <w:abstractNumId w:val="5"/>
  </w:num>
  <w:num w:numId="21">
    <w:abstractNumId w:val="2"/>
  </w:num>
  <w:num w:numId="22">
    <w:abstractNumId w:val="30"/>
  </w:num>
  <w:num w:numId="23">
    <w:abstractNumId w:val="3"/>
  </w:num>
  <w:num w:numId="24">
    <w:abstractNumId w:val="11"/>
  </w:num>
  <w:num w:numId="25">
    <w:abstractNumId w:val="6"/>
  </w:num>
  <w:num w:numId="26">
    <w:abstractNumId w:val="19"/>
  </w:num>
  <w:num w:numId="27">
    <w:abstractNumId w:val="21"/>
  </w:num>
  <w:num w:numId="28">
    <w:abstractNumId w:val="26"/>
  </w:num>
  <w:num w:numId="29">
    <w:abstractNumId w:val="25"/>
  </w:num>
  <w:num w:numId="30">
    <w:abstractNumId w:val="29"/>
  </w:num>
  <w:num w:numId="31">
    <w:abstractNumId w:val="1"/>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56"/>
    <w:rsid w:val="000013D9"/>
    <w:rsid w:val="000018D1"/>
    <w:rsid w:val="00003185"/>
    <w:rsid w:val="00003DE7"/>
    <w:rsid w:val="00004294"/>
    <w:rsid w:val="000047E2"/>
    <w:rsid w:val="00004A8B"/>
    <w:rsid w:val="00005AB1"/>
    <w:rsid w:val="00005F3B"/>
    <w:rsid w:val="00006400"/>
    <w:rsid w:val="000066CC"/>
    <w:rsid w:val="00010290"/>
    <w:rsid w:val="00010395"/>
    <w:rsid w:val="000118B6"/>
    <w:rsid w:val="00012527"/>
    <w:rsid w:val="0001265A"/>
    <w:rsid w:val="000130F3"/>
    <w:rsid w:val="00013F49"/>
    <w:rsid w:val="0001532E"/>
    <w:rsid w:val="00020E87"/>
    <w:rsid w:val="0002221D"/>
    <w:rsid w:val="00022A6E"/>
    <w:rsid w:val="00022CC5"/>
    <w:rsid w:val="00023324"/>
    <w:rsid w:val="00024EEF"/>
    <w:rsid w:val="00026819"/>
    <w:rsid w:val="00026BD9"/>
    <w:rsid w:val="000278CF"/>
    <w:rsid w:val="0003230B"/>
    <w:rsid w:val="00032C4E"/>
    <w:rsid w:val="0003354D"/>
    <w:rsid w:val="00035369"/>
    <w:rsid w:val="000355C1"/>
    <w:rsid w:val="00035DBF"/>
    <w:rsid w:val="0003659B"/>
    <w:rsid w:val="00036F20"/>
    <w:rsid w:val="00040167"/>
    <w:rsid w:val="000402CC"/>
    <w:rsid w:val="0004044B"/>
    <w:rsid w:val="00040CE9"/>
    <w:rsid w:val="00040D63"/>
    <w:rsid w:val="000411B7"/>
    <w:rsid w:val="0004187B"/>
    <w:rsid w:val="00041DEB"/>
    <w:rsid w:val="0004209C"/>
    <w:rsid w:val="00042655"/>
    <w:rsid w:val="00043F56"/>
    <w:rsid w:val="000441FC"/>
    <w:rsid w:val="00045302"/>
    <w:rsid w:val="00045ABE"/>
    <w:rsid w:val="00047C58"/>
    <w:rsid w:val="00050A40"/>
    <w:rsid w:val="00051F52"/>
    <w:rsid w:val="00053C49"/>
    <w:rsid w:val="00054FC8"/>
    <w:rsid w:val="00055180"/>
    <w:rsid w:val="00060AAF"/>
    <w:rsid w:val="0006128D"/>
    <w:rsid w:val="000612C6"/>
    <w:rsid w:val="000613B6"/>
    <w:rsid w:val="0006172A"/>
    <w:rsid w:val="00062CCA"/>
    <w:rsid w:val="00063B5C"/>
    <w:rsid w:val="00067842"/>
    <w:rsid w:val="00067885"/>
    <w:rsid w:val="00067D4D"/>
    <w:rsid w:val="0007126B"/>
    <w:rsid w:val="00071812"/>
    <w:rsid w:val="000723A8"/>
    <w:rsid w:val="000743C8"/>
    <w:rsid w:val="00074497"/>
    <w:rsid w:val="00074DFF"/>
    <w:rsid w:val="00075567"/>
    <w:rsid w:val="00075619"/>
    <w:rsid w:val="00076A7F"/>
    <w:rsid w:val="00077E87"/>
    <w:rsid w:val="00080337"/>
    <w:rsid w:val="0008033B"/>
    <w:rsid w:val="0008146B"/>
    <w:rsid w:val="00081FD1"/>
    <w:rsid w:val="00082079"/>
    <w:rsid w:val="00090F2D"/>
    <w:rsid w:val="000923BA"/>
    <w:rsid w:val="000942DD"/>
    <w:rsid w:val="00094A76"/>
    <w:rsid w:val="000968E7"/>
    <w:rsid w:val="00097373"/>
    <w:rsid w:val="000A005D"/>
    <w:rsid w:val="000A1815"/>
    <w:rsid w:val="000A1A71"/>
    <w:rsid w:val="000A2863"/>
    <w:rsid w:val="000A2976"/>
    <w:rsid w:val="000A2ADD"/>
    <w:rsid w:val="000A4F0D"/>
    <w:rsid w:val="000A540D"/>
    <w:rsid w:val="000A64AE"/>
    <w:rsid w:val="000A75E4"/>
    <w:rsid w:val="000B2284"/>
    <w:rsid w:val="000B28EE"/>
    <w:rsid w:val="000B2AA6"/>
    <w:rsid w:val="000B2AB2"/>
    <w:rsid w:val="000B2EDA"/>
    <w:rsid w:val="000B3EA9"/>
    <w:rsid w:val="000B40E5"/>
    <w:rsid w:val="000B48F8"/>
    <w:rsid w:val="000B52C3"/>
    <w:rsid w:val="000B5A47"/>
    <w:rsid w:val="000B5C26"/>
    <w:rsid w:val="000B6355"/>
    <w:rsid w:val="000C0BAD"/>
    <w:rsid w:val="000C34DF"/>
    <w:rsid w:val="000C3A53"/>
    <w:rsid w:val="000C4079"/>
    <w:rsid w:val="000C483F"/>
    <w:rsid w:val="000C51A6"/>
    <w:rsid w:val="000C582F"/>
    <w:rsid w:val="000C7CF0"/>
    <w:rsid w:val="000D0767"/>
    <w:rsid w:val="000D0F95"/>
    <w:rsid w:val="000D289C"/>
    <w:rsid w:val="000D3BD5"/>
    <w:rsid w:val="000D41A7"/>
    <w:rsid w:val="000D5595"/>
    <w:rsid w:val="000D5D92"/>
    <w:rsid w:val="000D613A"/>
    <w:rsid w:val="000D629A"/>
    <w:rsid w:val="000D701A"/>
    <w:rsid w:val="000E3009"/>
    <w:rsid w:val="000E35C4"/>
    <w:rsid w:val="000E4451"/>
    <w:rsid w:val="000E5CFA"/>
    <w:rsid w:val="000E6064"/>
    <w:rsid w:val="000F06D5"/>
    <w:rsid w:val="000F0EA2"/>
    <w:rsid w:val="000F1AF7"/>
    <w:rsid w:val="000F33D3"/>
    <w:rsid w:val="000F39EF"/>
    <w:rsid w:val="000F4EEF"/>
    <w:rsid w:val="000F6711"/>
    <w:rsid w:val="000F796A"/>
    <w:rsid w:val="0010392C"/>
    <w:rsid w:val="001053C9"/>
    <w:rsid w:val="0011136A"/>
    <w:rsid w:val="0011222A"/>
    <w:rsid w:val="001125EE"/>
    <w:rsid w:val="00112886"/>
    <w:rsid w:val="00113A95"/>
    <w:rsid w:val="00115CD8"/>
    <w:rsid w:val="0012026E"/>
    <w:rsid w:val="00120388"/>
    <w:rsid w:val="0012136E"/>
    <w:rsid w:val="001232CB"/>
    <w:rsid w:val="001234BC"/>
    <w:rsid w:val="001246DC"/>
    <w:rsid w:val="0012509F"/>
    <w:rsid w:val="00125B2E"/>
    <w:rsid w:val="00125F15"/>
    <w:rsid w:val="00126223"/>
    <w:rsid w:val="00126807"/>
    <w:rsid w:val="001269D2"/>
    <w:rsid w:val="00130253"/>
    <w:rsid w:val="0013133F"/>
    <w:rsid w:val="00131EFC"/>
    <w:rsid w:val="00132B04"/>
    <w:rsid w:val="00132D77"/>
    <w:rsid w:val="001337C6"/>
    <w:rsid w:val="00133A5D"/>
    <w:rsid w:val="00133BC7"/>
    <w:rsid w:val="001351F8"/>
    <w:rsid w:val="0013576A"/>
    <w:rsid w:val="00136395"/>
    <w:rsid w:val="0013679E"/>
    <w:rsid w:val="00141A7C"/>
    <w:rsid w:val="00141B48"/>
    <w:rsid w:val="00142478"/>
    <w:rsid w:val="0014306A"/>
    <w:rsid w:val="00143179"/>
    <w:rsid w:val="001436AD"/>
    <w:rsid w:val="001437FF"/>
    <w:rsid w:val="0014429C"/>
    <w:rsid w:val="001442DD"/>
    <w:rsid w:val="00144D28"/>
    <w:rsid w:val="001453EB"/>
    <w:rsid w:val="00145489"/>
    <w:rsid w:val="0014605C"/>
    <w:rsid w:val="001465BA"/>
    <w:rsid w:val="001527B3"/>
    <w:rsid w:val="0015444C"/>
    <w:rsid w:val="001545C8"/>
    <w:rsid w:val="0015546E"/>
    <w:rsid w:val="0015613E"/>
    <w:rsid w:val="00156EC3"/>
    <w:rsid w:val="0015782B"/>
    <w:rsid w:val="001605F6"/>
    <w:rsid w:val="0016167C"/>
    <w:rsid w:val="00161855"/>
    <w:rsid w:val="00161B47"/>
    <w:rsid w:val="001625AE"/>
    <w:rsid w:val="001646C6"/>
    <w:rsid w:val="00167BD9"/>
    <w:rsid w:val="001702E6"/>
    <w:rsid w:val="00170418"/>
    <w:rsid w:val="001707E1"/>
    <w:rsid w:val="001708CE"/>
    <w:rsid w:val="00172104"/>
    <w:rsid w:val="0017377A"/>
    <w:rsid w:val="00173A4F"/>
    <w:rsid w:val="00173DB1"/>
    <w:rsid w:val="00174D1D"/>
    <w:rsid w:val="00180B13"/>
    <w:rsid w:val="00180ED4"/>
    <w:rsid w:val="001817D6"/>
    <w:rsid w:val="00182FF5"/>
    <w:rsid w:val="001849EC"/>
    <w:rsid w:val="001863D7"/>
    <w:rsid w:val="001900A8"/>
    <w:rsid w:val="00190315"/>
    <w:rsid w:val="00190BC2"/>
    <w:rsid w:val="00190D66"/>
    <w:rsid w:val="001924AD"/>
    <w:rsid w:val="0019461E"/>
    <w:rsid w:val="00196816"/>
    <w:rsid w:val="00196BB9"/>
    <w:rsid w:val="00197015"/>
    <w:rsid w:val="00197895"/>
    <w:rsid w:val="001A0033"/>
    <w:rsid w:val="001A0188"/>
    <w:rsid w:val="001A183E"/>
    <w:rsid w:val="001A4B16"/>
    <w:rsid w:val="001A6BDB"/>
    <w:rsid w:val="001A6F1D"/>
    <w:rsid w:val="001A71F9"/>
    <w:rsid w:val="001A72E8"/>
    <w:rsid w:val="001A76E3"/>
    <w:rsid w:val="001A7DBD"/>
    <w:rsid w:val="001A7FE7"/>
    <w:rsid w:val="001B12B3"/>
    <w:rsid w:val="001B185C"/>
    <w:rsid w:val="001B3A62"/>
    <w:rsid w:val="001B454E"/>
    <w:rsid w:val="001B4E46"/>
    <w:rsid w:val="001B7C51"/>
    <w:rsid w:val="001C0504"/>
    <w:rsid w:val="001C0E36"/>
    <w:rsid w:val="001C5EF4"/>
    <w:rsid w:val="001D0F71"/>
    <w:rsid w:val="001D14A7"/>
    <w:rsid w:val="001D27EC"/>
    <w:rsid w:val="001D2897"/>
    <w:rsid w:val="001D355B"/>
    <w:rsid w:val="001D3CE4"/>
    <w:rsid w:val="001D44FC"/>
    <w:rsid w:val="001D48B4"/>
    <w:rsid w:val="001D4A38"/>
    <w:rsid w:val="001D4C46"/>
    <w:rsid w:val="001D6640"/>
    <w:rsid w:val="001D7FF4"/>
    <w:rsid w:val="001E19FC"/>
    <w:rsid w:val="001E3681"/>
    <w:rsid w:val="001E3BED"/>
    <w:rsid w:val="001E4984"/>
    <w:rsid w:val="001E4F2C"/>
    <w:rsid w:val="001E6CC4"/>
    <w:rsid w:val="001E72B7"/>
    <w:rsid w:val="001E79EC"/>
    <w:rsid w:val="001F0A06"/>
    <w:rsid w:val="001F1679"/>
    <w:rsid w:val="001F16E6"/>
    <w:rsid w:val="001F1715"/>
    <w:rsid w:val="001F388F"/>
    <w:rsid w:val="001F4DF4"/>
    <w:rsid w:val="001F4E31"/>
    <w:rsid w:val="001F640A"/>
    <w:rsid w:val="001F7636"/>
    <w:rsid w:val="00200B5D"/>
    <w:rsid w:val="002016E3"/>
    <w:rsid w:val="00202D4D"/>
    <w:rsid w:val="002032C6"/>
    <w:rsid w:val="002034B6"/>
    <w:rsid w:val="002045E5"/>
    <w:rsid w:val="002046BC"/>
    <w:rsid w:val="002049E7"/>
    <w:rsid w:val="00205AA3"/>
    <w:rsid w:val="0020686D"/>
    <w:rsid w:val="00207593"/>
    <w:rsid w:val="0021098B"/>
    <w:rsid w:val="002114E8"/>
    <w:rsid w:val="00211C33"/>
    <w:rsid w:val="00211C81"/>
    <w:rsid w:val="00213D2B"/>
    <w:rsid w:val="00214C30"/>
    <w:rsid w:val="00216D26"/>
    <w:rsid w:val="002170E6"/>
    <w:rsid w:val="00220948"/>
    <w:rsid w:val="0022324D"/>
    <w:rsid w:val="00223A70"/>
    <w:rsid w:val="002243F7"/>
    <w:rsid w:val="00225234"/>
    <w:rsid w:val="00225A49"/>
    <w:rsid w:val="00225C32"/>
    <w:rsid w:val="00227592"/>
    <w:rsid w:val="00227CB3"/>
    <w:rsid w:val="00230327"/>
    <w:rsid w:val="00232010"/>
    <w:rsid w:val="0023365C"/>
    <w:rsid w:val="00234D23"/>
    <w:rsid w:val="00234F73"/>
    <w:rsid w:val="002354A6"/>
    <w:rsid w:val="00236754"/>
    <w:rsid w:val="00237084"/>
    <w:rsid w:val="002377DE"/>
    <w:rsid w:val="0024029F"/>
    <w:rsid w:val="00240C13"/>
    <w:rsid w:val="00241225"/>
    <w:rsid w:val="00241ACB"/>
    <w:rsid w:val="00242649"/>
    <w:rsid w:val="00242DAA"/>
    <w:rsid w:val="00243277"/>
    <w:rsid w:val="00243F9D"/>
    <w:rsid w:val="00244550"/>
    <w:rsid w:val="0024617F"/>
    <w:rsid w:val="00246EF3"/>
    <w:rsid w:val="00247117"/>
    <w:rsid w:val="00247918"/>
    <w:rsid w:val="00252926"/>
    <w:rsid w:val="0025462D"/>
    <w:rsid w:val="002548B7"/>
    <w:rsid w:val="00255100"/>
    <w:rsid w:val="0025556A"/>
    <w:rsid w:val="00257119"/>
    <w:rsid w:val="00260CA9"/>
    <w:rsid w:val="00261294"/>
    <w:rsid w:val="00262256"/>
    <w:rsid w:val="00263A44"/>
    <w:rsid w:val="002643CA"/>
    <w:rsid w:val="00265BCC"/>
    <w:rsid w:val="00266CEE"/>
    <w:rsid w:val="00267AE6"/>
    <w:rsid w:val="00272876"/>
    <w:rsid w:val="00272C5E"/>
    <w:rsid w:val="0027357D"/>
    <w:rsid w:val="00273DC4"/>
    <w:rsid w:val="00276CA7"/>
    <w:rsid w:val="00276CF7"/>
    <w:rsid w:val="00276ED2"/>
    <w:rsid w:val="0027733C"/>
    <w:rsid w:val="0028001F"/>
    <w:rsid w:val="00280023"/>
    <w:rsid w:val="002847E7"/>
    <w:rsid w:val="00285770"/>
    <w:rsid w:val="00285CDE"/>
    <w:rsid w:val="00285F50"/>
    <w:rsid w:val="002875EA"/>
    <w:rsid w:val="00287B5D"/>
    <w:rsid w:val="002916C2"/>
    <w:rsid w:val="00291CC0"/>
    <w:rsid w:val="00292B1D"/>
    <w:rsid w:val="00292ED4"/>
    <w:rsid w:val="00293356"/>
    <w:rsid w:val="00293388"/>
    <w:rsid w:val="002940E3"/>
    <w:rsid w:val="002A14A2"/>
    <w:rsid w:val="002A1968"/>
    <w:rsid w:val="002A2A50"/>
    <w:rsid w:val="002A4DFB"/>
    <w:rsid w:val="002A6B66"/>
    <w:rsid w:val="002A6D5F"/>
    <w:rsid w:val="002A7B24"/>
    <w:rsid w:val="002B1ECC"/>
    <w:rsid w:val="002B24E4"/>
    <w:rsid w:val="002B4602"/>
    <w:rsid w:val="002B4A57"/>
    <w:rsid w:val="002B4DF9"/>
    <w:rsid w:val="002B598E"/>
    <w:rsid w:val="002B6648"/>
    <w:rsid w:val="002B7D59"/>
    <w:rsid w:val="002B7F13"/>
    <w:rsid w:val="002C1D7D"/>
    <w:rsid w:val="002C2D44"/>
    <w:rsid w:val="002C3274"/>
    <w:rsid w:val="002C32AA"/>
    <w:rsid w:val="002C3F44"/>
    <w:rsid w:val="002C5404"/>
    <w:rsid w:val="002C6625"/>
    <w:rsid w:val="002C6B92"/>
    <w:rsid w:val="002C7499"/>
    <w:rsid w:val="002D0702"/>
    <w:rsid w:val="002D0762"/>
    <w:rsid w:val="002D0CAF"/>
    <w:rsid w:val="002D0FCD"/>
    <w:rsid w:val="002D216E"/>
    <w:rsid w:val="002D5612"/>
    <w:rsid w:val="002D5880"/>
    <w:rsid w:val="002D58A5"/>
    <w:rsid w:val="002D64C4"/>
    <w:rsid w:val="002D6B38"/>
    <w:rsid w:val="002D6E55"/>
    <w:rsid w:val="002D6FCD"/>
    <w:rsid w:val="002E1B85"/>
    <w:rsid w:val="002E1E9B"/>
    <w:rsid w:val="002E2CBC"/>
    <w:rsid w:val="002E338B"/>
    <w:rsid w:val="002E4DF9"/>
    <w:rsid w:val="002E712D"/>
    <w:rsid w:val="002E7481"/>
    <w:rsid w:val="002F16CD"/>
    <w:rsid w:val="002F2995"/>
    <w:rsid w:val="002F3A3A"/>
    <w:rsid w:val="002F5917"/>
    <w:rsid w:val="002F6166"/>
    <w:rsid w:val="002F630A"/>
    <w:rsid w:val="002F6B1E"/>
    <w:rsid w:val="00300019"/>
    <w:rsid w:val="00300E6B"/>
    <w:rsid w:val="003018A9"/>
    <w:rsid w:val="00301B9F"/>
    <w:rsid w:val="00302077"/>
    <w:rsid w:val="00302301"/>
    <w:rsid w:val="003035CE"/>
    <w:rsid w:val="003043E2"/>
    <w:rsid w:val="00306583"/>
    <w:rsid w:val="00307364"/>
    <w:rsid w:val="00307CF8"/>
    <w:rsid w:val="00310591"/>
    <w:rsid w:val="00314473"/>
    <w:rsid w:val="003160D1"/>
    <w:rsid w:val="00316901"/>
    <w:rsid w:val="00316E66"/>
    <w:rsid w:val="00321497"/>
    <w:rsid w:val="00323117"/>
    <w:rsid w:val="00323EDE"/>
    <w:rsid w:val="003245AD"/>
    <w:rsid w:val="00324703"/>
    <w:rsid w:val="00324732"/>
    <w:rsid w:val="00327A56"/>
    <w:rsid w:val="00330838"/>
    <w:rsid w:val="003315AF"/>
    <w:rsid w:val="00331D88"/>
    <w:rsid w:val="003322F2"/>
    <w:rsid w:val="00332361"/>
    <w:rsid w:val="00332617"/>
    <w:rsid w:val="00336A2C"/>
    <w:rsid w:val="003377B1"/>
    <w:rsid w:val="00340442"/>
    <w:rsid w:val="00340919"/>
    <w:rsid w:val="00340EED"/>
    <w:rsid w:val="0034187C"/>
    <w:rsid w:val="00341988"/>
    <w:rsid w:val="00341C2F"/>
    <w:rsid w:val="003429AF"/>
    <w:rsid w:val="003429EB"/>
    <w:rsid w:val="00344BCC"/>
    <w:rsid w:val="00345765"/>
    <w:rsid w:val="00346C61"/>
    <w:rsid w:val="00347D03"/>
    <w:rsid w:val="003505E9"/>
    <w:rsid w:val="00351774"/>
    <w:rsid w:val="003519D1"/>
    <w:rsid w:val="00352F15"/>
    <w:rsid w:val="00353CED"/>
    <w:rsid w:val="00354A46"/>
    <w:rsid w:val="00355E2F"/>
    <w:rsid w:val="00357993"/>
    <w:rsid w:val="00361198"/>
    <w:rsid w:val="00364DBE"/>
    <w:rsid w:val="00365B86"/>
    <w:rsid w:val="00366B62"/>
    <w:rsid w:val="00367F46"/>
    <w:rsid w:val="00373090"/>
    <w:rsid w:val="003738EB"/>
    <w:rsid w:val="0037466A"/>
    <w:rsid w:val="00374C09"/>
    <w:rsid w:val="00375992"/>
    <w:rsid w:val="003759A5"/>
    <w:rsid w:val="0037745F"/>
    <w:rsid w:val="00377BCF"/>
    <w:rsid w:val="00380150"/>
    <w:rsid w:val="00382671"/>
    <w:rsid w:val="0038281D"/>
    <w:rsid w:val="00382D45"/>
    <w:rsid w:val="00384E8F"/>
    <w:rsid w:val="00386BDE"/>
    <w:rsid w:val="00387EB8"/>
    <w:rsid w:val="0039035F"/>
    <w:rsid w:val="00392ACD"/>
    <w:rsid w:val="00392CA3"/>
    <w:rsid w:val="00392DA6"/>
    <w:rsid w:val="003956DB"/>
    <w:rsid w:val="00396CE6"/>
    <w:rsid w:val="00397BE8"/>
    <w:rsid w:val="003A058F"/>
    <w:rsid w:val="003A10D7"/>
    <w:rsid w:val="003A164B"/>
    <w:rsid w:val="003A4E65"/>
    <w:rsid w:val="003A56D5"/>
    <w:rsid w:val="003A7650"/>
    <w:rsid w:val="003A7A2A"/>
    <w:rsid w:val="003A7B89"/>
    <w:rsid w:val="003A7B9F"/>
    <w:rsid w:val="003B03BD"/>
    <w:rsid w:val="003B0BB3"/>
    <w:rsid w:val="003B0C0A"/>
    <w:rsid w:val="003B1057"/>
    <w:rsid w:val="003B1CEC"/>
    <w:rsid w:val="003B2A5E"/>
    <w:rsid w:val="003B2AFF"/>
    <w:rsid w:val="003B5D1C"/>
    <w:rsid w:val="003B66C2"/>
    <w:rsid w:val="003B7ED6"/>
    <w:rsid w:val="003C0ED9"/>
    <w:rsid w:val="003C2961"/>
    <w:rsid w:val="003C2D4F"/>
    <w:rsid w:val="003C412D"/>
    <w:rsid w:val="003C56F0"/>
    <w:rsid w:val="003C662E"/>
    <w:rsid w:val="003C7C33"/>
    <w:rsid w:val="003D06FA"/>
    <w:rsid w:val="003D18BD"/>
    <w:rsid w:val="003D1CAF"/>
    <w:rsid w:val="003D1D08"/>
    <w:rsid w:val="003D31C5"/>
    <w:rsid w:val="003D33DA"/>
    <w:rsid w:val="003D402B"/>
    <w:rsid w:val="003D43AC"/>
    <w:rsid w:val="003D5551"/>
    <w:rsid w:val="003D5EB5"/>
    <w:rsid w:val="003D6976"/>
    <w:rsid w:val="003D76BD"/>
    <w:rsid w:val="003D7770"/>
    <w:rsid w:val="003E09CC"/>
    <w:rsid w:val="003E0F2B"/>
    <w:rsid w:val="003E11D0"/>
    <w:rsid w:val="003E1556"/>
    <w:rsid w:val="003E1BCA"/>
    <w:rsid w:val="003E1FA2"/>
    <w:rsid w:val="003E4A45"/>
    <w:rsid w:val="003E617A"/>
    <w:rsid w:val="003F00B4"/>
    <w:rsid w:val="003F257A"/>
    <w:rsid w:val="003F2B18"/>
    <w:rsid w:val="003F2FC4"/>
    <w:rsid w:val="003F495C"/>
    <w:rsid w:val="003F4E35"/>
    <w:rsid w:val="003F56C0"/>
    <w:rsid w:val="00400424"/>
    <w:rsid w:val="004005B0"/>
    <w:rsid w:val="004010F5"/>
    <w:rsid w:val="00402903"/>
    <w:rsid w:val="00402A81"/>
    <w:rsid w:val="00403173"/>
    <w:rsid w:val="00403262"/>
    <w:rsid w:val="00404B61"/>
    <w:rsid w:val="004058BA"/>
    <w:rsid w:val="00406530"/>
    <w:rsid w:val="00406DD7"/>
    <w:rsid w:val="00411BBC"/>
    <w:rsid w:val="00411DDF"/>
    <w:rsid w:val="00412709"/>
    <w:rsid w:val="004131FE"/>
    <w:rsid w:val="00413E35"/>
    <w:rsid w:val="00413F12"/>
    <w:rsid w:val="004165CD"/>
    <w:rsid w:val="00420029"/>
    <w:rsid w:val="00420617"/>
    <w:rsid w:val="00421E9C"/>
    <w:rsid w:val="004225F2"/>
    <w:rsid w:val="00423D64"/>
    <w:rsid w:val="00424BAD"/>
    <w:rsid w:val="0042611F"/>
    <w:rsid w:val="00426722"/>
    <w:rsid w:val="00430361"/>
    <w:rsid w:val="00432950"/>
    <w:rsid w:val="0043365D"/>
    <w:rsid w:val="00434095"/>
    <w:rsid w:val="00435881"/>
    <w:rsid w:val="00435D24"/>
    <w:rsid w:val="004374A0"/>
    <w:rsid w:val="00437C9D"/>
    <w:rsid w:val="004402D0"/>
    <w:rsid w:val="00440FD0"/>
    <w:rsid w:val="00441A00"/>
    <w:rsid w:val="00441B2D"/>
    <w:rsid w:val="00442954"/>
    <w:rsid w:val="00443400"/>
    <w:rsid w:val="00443D26"/>
    <w:rsid w:val="004446B2"/>
    <w:rsid w:val="00446C48"/>
    <w:rsid w:val="00446FBE"/>
    <w:rsid w:val="004470DF"/>
    <w:rsid w:val="004471EC"/>
    <w:rsid w:val="00447EB6"/>
    <w:rsid w:val="00452CDB"/>
    <w:rsid w:val="00453D05"/>
    <w:rsid w:val="00455D95"/>
    <w:rsid w:val="0045753E"/>
    <w:rsid w:val="00457D72"/>
    <w:rsid w:val="00460032"/>
    <w:rsid w:val="00461C26"/>
    <w:rsid w:val="004637F2"/>
    <w:rsid w:val="00463FDD"/>
    <w:rsid w:val="0046553E"/>
    <w:rsid w:val="0046620F"/>
    <w:rsid w:val="00466C63"/>
    <w:rsid w:val="00467117"/>
    <w:rsid w:val="00467251"/>
    <w:rsid w:val="00472835"/>
    <w:rsid w:val="00473C68"/>
    <w:rsid w:val="00474036"/>
    <w:rsid w:val="00474DBA"/>
    <w:rsid w:val="004760D7"/>
    <w:rsid w:val="00476FC6"/>
    <w:rsid w:val="00477722"/>
    <w:rsid w:val="00477DDC"/>
    <w:rsid w:val="004800C7"/>
    <w:rsid w:val="004807F5"/>
    <w:rsid w:val="004814A6"/>
    <w:rsid w:val="0048163C"/>
    <w:rsid w:val="004816B2"/>
    <w:rsid w:val="00482598"/>
    <w:rsid w:val="004829D8"/>
    <w:rsid w:val="00483877"/>
    <w:rsid w:val="004839DF"/>
    <w:rsid w:val="0048754F"/>
    <w:rsid w:val="00487A85"/>
    <w:rsid w:val="004941BA"/>
    <w:rsid w:val="004953EC"/>
    <w:rsid w:val="0049580B"/>
    <w:rsid w:val="004959EB"/>
    <w:rsid w:val="004A1D27"/>
    <w:rsid w:val="004A3880"/>
    <w:rsid w:val="004A38DE"/>
    <w:rsid w:val="004A6D30"/>
    <w:rsid w:val="004A7C5A"/>
    <w:rsid w:val="004B0058"/>
    <w:rsid w:val="004B1130"/>
    <w:rsid w:val="004B6D2F"/>
    <w:rsid w:val="004B76CC"/>
    <w:rsid w:val="004C0D23"/>
    <w:rsid w:val="004C4A62"/>
    <w:rsid w:val="004C638B"/>
    <w:rsid w:val="004C6AA5"/>
    <w:rsid w:val="004C6C72"/>
    <w:rsid w:val="004C7534"/>
    <w:rsid w:val="004C758D"/>
    <w:rsid w:val="004C795D"/>
    <w:rsid w:val="004C7BC3"/>
    <w:rsid w:val="004D01AB"/>
    <w:rsid w:val="004D21AA"/>
    <w:rsid w:val="004D31D1"/>
    <w:rsid w:val="004D400F"/>
    <w:rsid w:val="004D44B1"/>
    <w:rsid w:val="004D51E2"/>
    <w:rsid w:val="004D5B02"/>
    <w:rsid w:val="004D5B84"/>
    <w:rsid w:val="004D74E5"/>
    <w:rsid w:val="004E24D8"/>
    <w:rsid w:val="004E2F82"/>
    <w:rsid w:val="004E310C"/>
    <w:rsid w:val="004E4C81"/>
    <w:rsid w:val="004E5C11"/>
    <w:rsid w:val="004E5DA9"/>
    <w:rsid w:val="004E63F4"/>
    <w:rsid w:val="004E6FA8"/>
    <w:rsid w:val="004E78B6"/>
    <w:rsid w:val="004E7984"/>
    <w:rsid w:val="004E7A50"/>
    <w:rsid w:val="004F1C64"/>
    <w:rsid w:val="004F1ECE"/>
    <w:rsid w:val="004F5687"/>
    <w:rsid w:val="004F5F06"/>
    <w:rsid w:val="004F737C"/>
    <w:rsid w:val="004F7C6D"/>
    <w:rsid w:val="005013B8"/>
    <w:rsid w:val="00501D43"/>
    <w:rsid w:val="00502ECA"/>
    <w:rsid w:val="005039AB"/>
    <w:rsid w:val="0050455E"/>
    <w:rsid w:val="005051C2"/>
    <w:rsid w:val="00505A84"/>
    <w:rsid w:val="00506003"/>
    <w:rsid w:val="00506969"/>
    <w:rsid w:val="00507CF9"/>
    <w:rsid w:val="0051109E"/>
    <w:rsid w:val="0051237D"/>
    <w:rsid w:val="005136BA"/>
    <w:rsid w:val="00514C50"/>
    <w:rsid w:val="0051541F"/>
    <w:rsid w:val="0051748F"/>
    <w:rsid w:val="0052020A"/>
    <w:rsid w:val="005208BC"/>
    <w:rsid w:val="00521E93"/>
    <w:rsid w:val="00522757"/>
    <w:rsid w:val="0052287D"/>
    <w:rsid w:val="00524FE9"/>
    <w:rsid w:val="00525D3A"/>
    <w:rsid w:val="00527368"/>
    <w:rsid w:val="005301D3"/>
    <w:rsid w:val="005316A7"/>
    <w:rsid w:val="00531A2F"/>
    <w:rsid w:val="0053309A"/>
    <w:rsid w:val="00534724"/>
    <w:rsid w:val="005353E7"/>
    <w:rsid w:val="00537B83"/>
    <w:rsid w:val="0054198E"/>
    <w:rsid w:val="00542EFC"/>
    <w:rsid w:val="0054359F"/>
    <w:rsid w:val="005463C2"/>
    <w:rsid w:val="00546F41"/>
    <w:rsid w:val="005473CD"/>
    <w:rsid w:val="00547B68"/>
    <w:rsid w:val="00547BB7"/>
    <w:rsid w:val="00547D21"/>
    <w:rsid w:val="005529B0"/>
    <w:rsid w:val="00552FD6"/>
    <w:rsid w:val="00556222"/>
    <w:rsid w:val="00557DA5"/>
    <w:rsid w:val="0056046B"/>
    <w:rsid w:val="005609FA"/>
    <w:rsid w:val="005619AB"/>
    <w:rsid w:val="0056222A"/>
    <w:rsid w:val="0056363B"/>
    <w:rsid w:val="00563B81"/>
    <w:rsid w:val="0056589B"/>
    <w:rsid w:val="005664DE"/>
    <w:rsid w:val="00567566"/>
    <w:rsid w:val="00567900"/>
    <w:rsid w:val="00570DBC"/>
    <w:rsid w:val="00573A42"/>
    <w:rsid w:val="005741D2"/>
    <w:rsid w:val="00574AE4"/>
    <w:rsid w:val="00574B01"/>
    <w:rsid w:val="00575DDA"/>
    <w:rsid w:val="005769D9"/>
    <w:rsid w:val="00580080"/>
    <w:rsid w:val="005807E3"/>
    <w:rsid w:val="00581529"/>
    <w:rsid w:val="00581B71"/>
    <w:rsid w:val="0058388A"/>
    <w:rsid w:val="00583DD5"/>
    <w:rsid w:val="00584197"/>
    <w:rsid w:val="005848E3"/>
    <w:rsid w:val="00585F8C"/>
    <w:rsid w:val="00586E99"/>
    <w:rsid w:val="00587BA4"/>
    <w:rsid w:val="00587F48"/>
    <w:rsid w:val="0059210C"/>
    <w:rsid w:val="005930EE"/>
    <w:rsid w:val="00594B3F"/>
    <w:rsid w:val="00597258"/>
    <w:rsid w:val="005A4C1B"/>
    <w:rsid w:val="005A4C6A"/>
    <w:rsid w:val="005A5795"/>
    <w:rsid w:val="005A5A5B"/>
    <w:rsid w:val="005A6621"/>
    <w:rsid w:val="005B00DE"/>
    <w:rsid w:val="005B2166"/>
    <w:rsid w:val="005B25DA"/>
    <w:rsid w:val="005B4654"/>
    <w:rsid w:val="005B4BB2"/>
    <w:rsid w:val="005B76D6"/>
    <w:rsid w:val="005B7A32"/>
    <w:rsid w:val="005B7A6C"/>
    <w:rsid w:val="005B7D38"/>
    <w:rsid w:val="005B7FB4"/>
    <w:rsid w:val="005C0E20"/>
    <w:rsid w:val="005C3A75"/>
    <w:rsid w:val="005C44C8"/>
    <w:rsid w:val="005C461E"/>
    <w:rsid w:val="005C53E4"/>
    <w:rsid w:val="005C64CE"/>
    <w:rsid w:val="005C6505"/>
    <w:rsid w:val="005C6AA3"/>
    <w:rsid w:val="005C6E38"/>
    <w:rsid w:val="005D0476"/>
    <w:rsid w:val="005D04EA"/>
    <w:rsid w:val="005D0618"/>
    <w:rsid w:val="005D2F94"/>
    <w:rsid w:val="005D3BE2"/>
    <w:rsid w:val="005D3DEB"/>
    <w:rsid w:val="005D3E74"/>
    <w:rsid w:val="005D3EED"/>
    <w:rsid w:val="005D52F2"/>
    <w:rsid w:val="005D58AB"/>
    <w:rsid w:val="005D79B2"/>
    <w:rsid w:val="005D7C5E"/>
    <w:rsid w:val="005E00CB"/>
    <w:rsid w:val="005E10DE"/>
    <w:rsid w:val="005E16D6"/>
    <w:rsid w:val="005E1929"/>
    <w:rsid w:val="005E24EE"/>
    <w:rsid w:val="005E26A8"/>
    <w:rsid w:val="005E363C"/>
    <w:rsid w:val="005E4819"/>
    <w:rsid w:val="005F135A"/>
    <w:rsid w:val="005F1C76"/>
    <w:rsid w:val="005F2947"/>
    <w:rsid w:val="005F2A44"/>
    <w:rsid w:val="005F3E87"/>
    <w:rsid w:val="005F4075"/>
    <w:rsid w:val="005F5D92"/>
    <w:rsid w:val="005F78E3"/>
    <w:rsid w:val="0060017B"/>
    <w:rsid w:val="00600AE7"/>
    <w:rsid w:val="00600F66"/>
    <w:rsid w:val="0060127C"/>
    <w:rsid w:val="006022F4"/>
    <w:rsid w:val="00602537"/>
    <w:rsid w:val="00602B37"/>
    <w:rsid w:val="00602C82"/>
    <w:rsid w:val="00604B5C"/>
    <w:rsid w:val="00604D3A"/>
    <w:rsid w:val="0060536B"/>
    <w:rsid w:val="00605473"/>
    <w:rsid w:val="00605832"/>
    <w:rsid w:val="006068E1"/>
    <w:rsid w:val="0060763E"/>
    <w:rsid w:val="00607EE2"/>
    <w:rsid w:val="00611213"/>
    <w:rsid w:val="00612004"/>
    <w:rsid w:val="00614C72"/>
    <w:rsid w:val="006208BE"/>
    <w:rsid w:val="00621F99"/>
    <w:rsid w:val="006240CB"/>
    <w:rsid w:val="006254A6"/>
    <w:rsid w:val="00625ABD"/>
    <w:rsid w:val="00627BDE"/>
    <w:rsid w:val="00630117"/>
    <w:rsid w:val="00630979"/>
    <w:rsid w:val="00633A55"/>
    <w:rsid w:val="00633B1A"/>
    <w:rsid w:val="006341F2"/>
    <w:rsid w:val="00635F89"/>
    <w:rsid w:val="0063624F"/>
    <w:rsid w:val="00636F55"/>
    <w:rsid w:val="00637FED"/>
    <w:rsid w:val="00640791"/>
    <w:rsid w:val="00641CD3"/>
    <w:rsid w:val="00641EC0"/>
    <w:rsid w:val="006425BB"/>
    <w:rsid w:val="006429C8"/>
    <w:rsid w:val="006437BD"/>
    <w:rsid w:val="00643A0D"/>
    <w:rsid w:val="00643CD0"/>
    <w:rsid w:val="00644EB4"/>
    <w:rsid w:val="006467CB"/>
    <w:rsid w:val="00646C9A"/>
    <w:rsid w:val="00647BB2"/>
    <w:rsid w:val="00651685"/>
    <w:rsid w:val="00653F07"/>
    <w:rsid w:val="00654D98"/>
    <w:rsid w:val="00656591"/>
    <w:rsid w:val="0065667C"/>
    <w:rsid w:val="00657B1A"/>
    <w:rsid w:val="0066196E"/>
    <w:rsid w:val="0066279A"/>
    <w:rsid w:val="0066383E"/>
    <w:rsid w:val="0066490F"/>
    <w:rsid w:val="00664E04"/>
    <w:rsid w:val="00666562"/>
    <w:rsid w:val="00670747"/>
    <w:rsid w:val="00671383"/>
    <w:rsid w:val="006718C6"/>
    <w:rsid w:val="00672037"/>
    <w:rsid w:val="00673B03"/>
    <w:rsid w:val="0067609A"/>
    <w:rsid w:val="006767BE"/>
    <w:rsid w:val="0067690F"/>
    <w:rsid w:val="00680E2A"/>
    <w:rsid w:val="006815BB"/>
    <w:rsid w:val="00681EF8"/>
    <w:rsid w:val="006835D4"/>
    <w:rsid w:val="00684105"/>
    <w:rsid w:val="00684303"/>
    <w:rsid w:val="00686129"/>
    <w:rsid w:val="0068750E"/>
    <w:rsid w:val="006922D1"/>
    <w:rsid w:val="0069241E"/>
    <w:rsid w:val="00692715"/>
    <w:rsid w:val="00693374"/>
    <w:rsid w:val="00693A24"/>
    <w:rsid w:val="006944A1"/>
    <w:rsid w:val="006958BE"/>
    <w:rsid w:val="006961B7"/>
    <w:rsid w:val="00696649"/>
    <w:rsid w:val="006A0517"/>
    <w:rsid w:val="006A060C"/>
    <w:rsid w:val="006A109A"/>
    <w:rsid w:val="006A1863"/>
    <w:rsid w:val="006A2A65"/>
    <w:rsid w:val="006A4ACD"/>
    <w:rsid w:val="006A4CA9"/>
    <w:rsid w:val="006A5DF8"/>
    <w:rsid w:val="006A6273"/>
    <w:rsid w:val="006A6885"/>
    <w:rsid w:val="006A6C1B"/>
    <w:rsid w:val="006A7EBE"/>
    <w:rsid w:val="006B06E8"/>
    <w:rsid w:val="006B0BB9"/>
    <w:rsid w:val="006B25A7"/>
    <w:rsid w:val="006B305D"/>
    <w:rsid w:val="006B397B"/>
    <w:rsid w:val="006B4C7E"/>
    <w:rsid w:val="006B4E58"/>
    <w:rsid w:val="006B68A8"/>
    <w:rsid w:val="006B764D"/>
    <w:rsid w:val="006C0440"/>
    <w:rsid w:val="006C0D41"/>
    <w:rsid w:val="006C3DBF"/>
    <w:rsid w:val="006C4465"/>
    <w:rsid w:val="006C45A0"/>
    <w:rsid w:val="006D094F"/>
    <w:rsid w:val="006D0B78"/>
    <w:rsid w:val="006D0E0B"/>
    <w:rsid w:val="006D19F9"/>
    <w:rsid w:val="006D21BF"/>
    <w:rsid w:val="006D3F40"/>
    <w:rsid w:val="006D4818"/>
    <w:rsid w:val="006D4B5F"/>
    <w:rsid w:val="006D4EC8"/>
    <w:rsid w:val="006D5E8E"/>
    <w:rsid w:val="006E01EE"/>
    <w:rsid w:val="006E0685"/>
    <w:rsid w:val="006E0BB1"/>
    <w:rsid w:val="006E100F"/>
    <w:rsid w:val="006E3406"/>
    <w:rsid w:val="006E4F51"/>
    <w:rsid w:val="006E4FBF"/>
    <w:rsid w:val="006E6004"/>
    <w:rsid w:val="006E66E0"/>
    <w:rsid w:val="006E78A4"/>
    <w:rsid w:val="006F0FA0"/>
    <w:rsid w:val="006F2105"/>
    <w:rsid w:val="006F2B4B"/>
    <w:rsid w:val="006F5658"/>
    <w:rsid w:val="006F742B"/>
    <w:rsid w:val="0070057C"/>
    <w:rsid w:val="00700F9C"/>
    <w:rsid w:val="0070210E"/>
    <w:rsid w:val="00702541"/>
    <w:rsid w:val="007029D5"/>
    <w:rsid w:val="00703F7D"/>
    <w:rsid w:val="00704792"/>
    <w:rsid w:val="00707C32"/>
    <w:rsid w:val="007100FA"/>
    <w:rsid w:val="00711921"/>
    <w:rsid w:val="00712773"/>
    <w:rsid w:val="007128B5"/>
    <w:rsid w:val="00712F48"/>
    <w:rsid w:val="00714E2C"/>
    <w:rsid w:val="00715426"/>
    <w:rsid w:val="00717377"/>
    <w:rsid w:val="00723E54"/>
    <w:rsid w:val="00725D83"/>
    <w:rsid w:val="00726284"/>
    <w:rsid w:val="00726F5C"/>
    <w:rsid w:val="00727A43"/>
    <w:rsid w:val="007301DA"/>
    <w:rsid w:val="00730818"/>
    <w:rsid w:val="0073133E"/>
    <w:rsid w:val="00731A41"/>
    <w:rsid w:val="00732570"/>
    <w:rsid w:val="0073305E"/>
    <w:rsid w:val="007332DD"/>
    <w:rsid w:val="00740D08"/>
    <w:rsid w:val="00741094"/>
    <w:rsid w:val="007414E0"/>
    <w:rsid w:val="007418E7"/>
    <w:rsid w:val="00742786"/>
    <w:rsid w:val="00742C8B"/>
    <w:rsid w:val="00742D7F"/>
    <w:rsid w:val="00743AAD"/>
    <w:rsid w:val="00744375"/>
    <w:rsid w:val="00744CCF"/>
    <w:rsid w:val="00746457"/>
    <w:rsid w:val="00746A2E"/>
    <w:rsid w:val="0074755A"/>
    <w:rsid w:val="0075249F"/>
    <w:rsid w:val="007538A8"/>
    <w:rsid w:val="007544EE"/>
    <w:rsid w:val="0075454E"/>
    <w:rsid w:val="00754780"/>
    <w:rsid w:val="00757082"/>
    <w:rsid w:val="00757F5C"/>
    <w:rsid w:val="00760703"/>
    <w:rsid w:val="00761232"/>
    <w:rsid w:val="00761DE7"/>
    <w:rsid w:val="00762C2F"/>
    <w:rsid w:val="007630D4"/>
    <w:rsid w:val="00764386"/>
    <w:rsid w:val="007651DC"/>
    <w:rsid w:val="007653AC"/>
    <w:rsid w:val="00765543"/>
    <w:rsid w:val="00766156"/>
    <w:rsid w:val="0076669C"/>
    <w:rsid w:val="007668B1"/>
    <w:rsid w:val="00766F82"/>
    <w:rsid w:val="00767DD6"/>
    <w:rsid w:val="00770272"/>
    <w:rsid w:val="007707C9"/>
    <w:rsid w:val="00770FAA"/>
    <w:rsid w:val="00772D6A"/>
    <w:rsid w:val="00773B04"/>
    <w:rsid w:val="007747B2"/>
    <w:rsid w:val="00774A7D"/>
    <w:rsid w:val="007757F0"/>
    <w:rsid w:val="00775D25"/>
    <w:rsid w:val="00775D72"/>
    <w:rsid w:val="007766D1"/>
    <w:rsid w:val="007767B5"/>
    <w:rsid w:val="00776DDE"/>
    <w:rsid w:val="00780570"/>
    <w:rsid w:val="00781444"/>
    <w:rsid w:val="0078209A"/>
    <w:rsid w:val="00782FF0"/>
    <w:rsid w:val="00783021"/>
    <w:rsid w:val="0078480A"/>
    <w:rsid w:val="007850C8"/>
    <w:rsid w:val="007866B0"/>
    <w:rsid w:val="00787A8B"/>
    <w:rsid w:val="007904B7"/>
    <w:rsid w:val="0079164C"/>
    <w:rsid w:val="00791F40"/>
    <w:rsid w:val="00793AB9"/>
    <w:rsid w:val="00794333"/>
    <w:rsid w:val="007948D0"/>
    <w:rsid w:val="0079537F"/>
    <w:rsid w:val="00795A12"/>
    <w:rsid w:val="00796665"/>
    <w:rsid w:val="00796945"/>
    <w:rsid w:val="00796B59"/>
    <w:rsid w:val="007979CD"/>
    <w:rsid w:val="007A0F07"/>
    <w:rsid w:val="007A2731"/>
    <w:rsid w:val="007A3A1D"/>
    <w:rsid w:val="007A51D7"/>
    <w:rsid w:val="007A6216"/>
    <w:rsid w:val="007A7C11"/>
    <w:rsid w:val="007B0B05"/>
    <w:rsid w:val="007B0C38"/>
    <w:rsid w:val="007B118F"/>
    <w:rsid w:val="007B1ECE"/>
    <w:rsid w:val="007B2808"/>
    <w:rsid w:val="007B3BE6"/>
    <w:rsid w:val="007B4967"/>
    <w:rsid w:val="007B52C7"/>
    <w:rsid w:val="007B6371"/>
    <w:rsid w:val="007B68B9"/>
    <w:rsid w:val="007B6C06"/>
    <w:rsid w:val="007B7986"/>
    <w:rsid w:val="007C0B0F"/>
    <w:rsid w:val="007C0DF1"/>
    <w:rsid w:val="007C21D8"/>
    <w:rsid w:val="007C3FD5"/>
    <w:rsid w:val="007C4039"/>
    <w:rsid w:val="007C59F7"/>
    <w:rsid w:val="007C6E87"/>
    <w:rsid w:val="007C72F1"/>
    <w:rsid w:val="007C7818"/>
    <w:rsid w:val="007D0045"/>
    <w:rsid w:val="007D2348"/>
    <w:rsid w:val="007D26A6"/>
    <w:rsid w:val="007D3A59"/>
    <w:rsid w:val="007D59FE"/>
    <w:rsid w:val="007D6F4D"/>
    <w:rsid w:val="007E1769"/>
    <w:rsid w:val="007E41DF"/>
    <w:rsid w:val="007E52FD"/>
    <w:rsid w:val="007E591B"/>
    <w:rsid w:val="007E6D9D"/>
    <w:rsid w:val="007E7D0C"/>
    <w:rsid w:val="007F1EB5"/>
    <w:rsid w:val="007F2C7B"/>
    <w:rsid w:val="007F40FC"/>
    <w:rsid w:val="007F4262"/>
    <w:rsid w:val="007F593B"/>
    <w:rsid w:val="007F7569"/>
    <w:rsid w:val="007F7E2C"/>
    <w:rsid w:val="008003D3"/>
    <w:rsid w:val="00800622"/>
    <w:rsid w:val="00801416"/>
    <w:rsid w:val="00801955"/>
    <w:rsid w:val="00801A1D"/>
    <w:rsid w:val="00802A17"/>
    <w:rsid w:val="008030B2"/>
    <w:rsid w:val="008035B4"/>
    <w:rsid w:val="0080408F"/>
    <w:rsid w:val="00807AA6"/>
    <w:rsid w:val="00813D0B"/>
    <w:rsid w:val="00815BDA"/>
    <w:rsid w:val="00816114"/>
    <w:rsid w:val="00816A28"/>
    <w:rsid w:val="00817391"/>
    <w:rsid w:val="008201A8"/>
    <w:rsid w:val="00820B76"/>
    <w:rsid w:val="00820BDA"/>
    <w:rsid w:val="00820F9C"/>
    <w:rsid w:val="008217ED"/>
    <w:rsid w:val="00822399"/>
    <w:rsid w:val="008230B8"/>
    <w:rsid w:val="008232E9"/>
    <w:rsid w:val="0082374F"/>
    <w:rsid w:val="0082512B"/>
    <w:rsid w:val="00825726"/>
    <w:rsid w:val="00826535"/>
    <w:rsid w:val="008278F4"/>
    <w:rsid w:val="008302A1"/>
    <w:rsid w:val="0083042A"/>
    <w:rsid w:val="00832359"/>
    <w:rsid w:val="008350BF"/>
    <w:rsid w:val="00835686"/>
    <w:rsid w:val="008361A9"/>
    <w:rsid w:val="00836C91"/>
    <w:rsid w:val="00837443"/>
    <w:rsid w:val="0083778A"/>
    <w:rsid w:val="00840D4A"/>
    <w:rsid w:val="00841A77"/>
    <w:rsid w:val="00843E7E"/>
    <w:rsid w:val="00844234"/>
    <w:rsid w:val="00844524"/>
    <w:rsid w:val="0084720B"/>
    <w:rsid w:val="00850636"/>
    <w:rsid w:val="008515CA"/>
    <w:rsid w:val="008519A6"/>
    <w:rsid w:val="0085260F"/>
    <w:rsid w:val="0085268D"/>
    <w:rsid w:val="0085584D"/>
    <w:rsid w:val="0085592C"/>
    <w:rsid w:val="008563D2"/>
    <w:rsid w:val="0085715C"/>
    <w:rsid w:val="00857D32"/>
    <w:rsid w:val="00860757"/>
    <w:rsid w:val="008610C4"/>
    <w:rsid w:val="00862F3C"/>
    <w:rsid w:val="00863767"/>
    <w:rsid w:val="0086433E"/>
    <w:rsid w:val="008659A8"/>
    <w:rsid w:val="00866019"/>
    <w:rsid w:val="00867EE2"/>
    <w:rsid w:val="0087360D"/>
    <w:rsid w:val="00874030"/>
    <w:rsid w:val="00874139"/>
    <w:rsid w:val="00874936"/>
    <w:rsid w:val="00875083"/>
    <w:rsid w:val="00875084"/>
    <w:rsid w:val="00875B50"/>
    <w:rsid w:val="008762B8"/>
    <w:rsid w:val="0087722F"/>
    <w:rsid w:val="0087733E"/>
    <w:rsid w:val="0087744F"/>
    <w:rsid w:val="00877617"/>
    <w:rsid w:val="00880933"/>
    <w:rsid w:val="00880AD1"/>
    <w:rsid w:val="0088144F"/>
    <w:rsid w:val="0088232B"/>
    <w:rsid w:val="008826DA"/>
    <w:rsid w:val="00882FA2"/>
    <w:rsid w:val="00884C36"/>
    <w:rsid w:val="008853CA"/>
    <w:rsid w:val="00885A8F"/>
    <w:rsid w:val="00885B08"/>
    <w:rsid w:val="008901E6"/>
    <w:rsid w:val="0089031B"/>
    <w:rsid w:val="00890A6B"/>
    <w:rsid w:val="00891110"/>
    <w:rsid w:val="00891A9D"/>
    <w:rsid w:val="00892643"/>
    <w:rsid w:val="00893674"/>
    <w:rsid w:val="00894748"/>
    <w:rsid w:val="00895210"/>
    <w:rsid w:val="00895215"/>
    <w:rsid w:val="00895660"/>
    <w:rsid w:val="0089626D"/>
    <w:rsid w:val="00896E3B"/>
    <w:rsid w:val="00897608"/>
    <w:rsid w:val="008A05ED"/>
    <w:rsid w:val="008A223C"/>
    <w:rsid w:val="008A2B87"/>
    <w:rsid w:val="008A58DE"/>
    <w:rsid w:val="008B05B9"/>
    <w:rsid w:val="008B0607"/>
    <w:rsid w:val="008B087C"/>
    <w:rsid w:val="008B0CDB"/>
    <w:rsid w:val="008B25DD"/>
    <w:rsid w:val="008B2F96"/>
    <w:rsid w:val="008B435C"/>
    <w:rsid w:val="008B4681"/>
    <w:rsid w:val="008B4EC0"/>
    <w:rsid w:val="008B5546"/>
    <w:rsid w:val="008B6ABC"/>
    <w:rsid w:val="008C10DB"/>
    <w:rsid w:val="008C1A51"/>
    <w:rsid w:val="008C22D7"/>
    <w:rsid w:val="008C281F"/>
    <w:rsid w:val="008C2A33"/>
    <w:rsid w:val="008C31E2"/>
    <w:rsid w:val="008C4618"/>
    <w:rsid w:val="008D1946"/>
    <w:rsid w:val="008D2195"/>
    <w:rsid w:val="008D21C6"/>
    <w:rsid w:val="008D312C"/>
    <w:rsid w:val="008D3130"/>
    <w:rsid w:val="008D6FE3"/>
    <w:rsid w:val="008E01D9"/>
    <w:rsid w:val="008E0907"/>
    <w:rsid w:val="008E0A09"/>
    <w:rsid w:val="008E0FA0"/>
    <w:rsid w:val="008E2921"/>
    <w:rsid w:val="008E29AB"/>
    <w:rsid w:val="008E33AA"/>
    <w:rsid w:val="008E39FF"/>
    <w:rsid w:val="008E3C64"/>
    <w:rsid w:val="008E4923"/>
    <w:rsid w:val="008F1E9E"/>
    <w:rsid w:val="008F3602"/>
    <w:rsid w:val="008F5964"/>
    <w:rsid w:val="008F5E33"/>
    <w:rsid w:val="008F62DA"/>
    <w:rsid w:val="00902236"/>
    <w:rsid w:val="00902F39"/>
    <w:rsid w:val="00903434"/>
    <w:rsid w:val="00903695"/>
    <w:rsid w:val="00904D43"/>
    <w:rsid w:val="0090625E"/>
    <w:rsid w:val="0090678E"/>
    <w:rsid w:val="00911066"/>
    <w:rsid w:val="0091137C"/>
    <w:rsid w:val="00911684"/>
    <w:rsid w:val="00911756"/>
    <w:rsid w:val="00912733"/>
    <w:rsid w:val="009139E3"/>
    <w:rsid w:val="009149C4"/>
    <w:rsid w:val="00915E28"/>
    <w:rsid w:val="00915F6B"/>
    <w:rsid w:val="00916CD0"/>
    <w:rsid w:val="00916D7B"/>
    <w:rsid w:val="00920367"/>
    <w:rsid w:val="009229C9"/>
    <w:rsid w:val="009236CA"/>
    <w:rsid w:val="00924251"/>
    <w:rsid w:val="00924D4F"/>
    <w:rsid w:val="00925FDD"/>
    <w:rsid w:val="00926130"/>
    <w:rsid w:val="00926364"/>
    <w:rsid w:val="009268F9"/>
    <w:rsid w:val="00927731"/>
    <w:rsid w:val="00927AE7"/>
    <w:rsid w:val="00927DE1"/>
    <w:rsid w:val="00932C76"/>
    <w:rsid w:val="00932E84"/>
    <w:rsid w:val="00933491"/>
    <w:rsid w:val="00937998"/>
    <w:rsid w:val="009400F0"/>
    <w:rsid w:val="00945CE1"/>
    <w:rsid w:val="00945EA0"/>
    <w:rsid w:val="009471FB"/>
    <w:rsid w:val="00950235"/>
    <w:rsid w:val="00950B9E"/>
    <w:rsid w:val="009516A7"/>
    <w:rsid w:val="0095299C"/>
    <w:rsid w:val="0095401F"/>
    <w:rsid w:val="00954CB2"/>
    <w:rsid w:val="00960A33"/>
    <w:rsid w:val="009615CC"/>
    <w:rsid w:val="00962718"/>
    <w:rsid w:val="009644A8"/>
    <w:rsid w:val="009653CB"/>
    <w:rsid w:val="009659D0"/>
    <w:rsid w:val="00966C55"/>
    <w:rsid w:val="00966F14"/>
    <w:rsid w:val="00967895"/>
    <w:rsid w:val="00967AE1"/>
    <w:rsid w:val="009706BC"/>
    <w:rsid w:val="00971554"/>
    <w:rsid w:val="00971908"/>
    <w:rsid w:val="0097283B"/>
    <w:rsid w:val="00972A3B"/>
    <w:rsid w:val="0097424D"/>
    <w:rsid w:val="009762BD"/>
    <w:rsid w:val="009800F0"/>
    <w:rsid w:val="00980A22"/>
    <w:rsid w:val="00980F72"/>
    <w:rsid w:val="00981133"/>
    <w:rsid w:val="009830F9"/>
    <w:rsid w:val="0098315D"/>
    <w:rsid w:val="009833A2"/>
    <w:rsid w:val="0098369D"/>
    <w:rsid w:val="00984A20"/>
    <w:rsid w:val="00985872"/>
    <w:rsid w:val="009865B0"/>
    <w:rsid w:val="009913B6"/>
    <w:rsid w:val="00992722"/>
    <w:rsid w:val="0099330E"/>
    <w:rsid w:val="00993CAA"/>
    <w:rsid w:val="009956AC"/>
    <w:rsid w:val="00995EB9"/>
    <w:rsid w:val="00996DAD"/>
    <w:rsid w:val="00997363"/>
    <w:rsid w:val="009A021E"/>
    <w:rsid w:val="009A08D8"/>
    <w:rsid w:val="009A31F3"/>
    <w:rsid w:val="009A3C37"/>
    <w:rsid w:val="009A43E6"/>
    <w:rsid w:val="009A45C2"/>
    <w:rsid w:val="009A59F0"/>
    <w:rsid w:val="009A74F7"/>
    <w:rsid w:val="009A7899"/>
    <w:rsid w:val="009B04B5"/>
    <w:rsid w:val="009B0D11"/>
    <w:rsid w:val="009B0E99"/>
    <w:rsid w:val="009B1036"/>
    <w:rsid w:val="009B1F2F"/>
    <w:rsid w:val="009B5926"/>
    <w:rsid w:val="009B5A00"/>
    <w:rsid w:val="009C245E"/>
    <w:rsid w:val="009C2491"/>
    <w:rsid w:val="009C32A1"/>
    <w:rsid w:val="009C3A81"/>
    <w:rsid w:val="009C6291"/>
    <w:rsid w:val="009C7FBE"/>
    <w:rsid w:val="009D3ADF"/>
    <w:rsid w:val="009D7717"/>
    <w:rsid w:val="009E1047"/>
    <w:rsid w:val="009E1880"/>
    <w:rsid w:val="009E1DD4"/>
    <w:rsid w:val="009E24A5"/>
    <w:rsid w:val="009E269F"/>
    <w:rsid w:val="009E415A"/>
    <w:rsid w:val="009F05C2"/>
    <w:rsid w:val="009F1BD0"/>
    <w:rsid w:val="009F2D09"/>
    <w:rsid w:val="009F2D19"/>
    <w:rsid w:val="009F2E0D"/>
    <w:rsid w:val="009F338B"/>
    <w:rsid w:val="009F373D"/>
    <w:rsid w:val="009F3ADB"/>
    <w:rsid w:val="009F7412"/>
    <w:rsid w:val="00A00377"/>
    <w:rsid w:val="00A00533"/>
    <w:rsid w:val="00A00AAD"/>
    <w:rsid w:val="00A0216D"/>
    <w:rsid w:val="00A039D8"/>
    <w:rsid w:val="00A04D66"/>
    <w:rsid w:val="00A055FE"/>
    <w:rsid w:val="00A05E72"/>
    <w:rsid w:val="00A06573"/>
    <w:rsid w:val="00A06D15"/>
    <w:rsid w:val="00A1015F"/>
    <w:rsid w:val="00A102F3"/>
    <w:rsid w:val="00A10F47"/>
    <w:rsid w:val="00A119D2"/>
    <w:rsid w:val="00A11D84"/>
    <w:rsid w:val="00A12F9A"/>
    <w:rsid w:val="00A15816"/>
    <w:rsid w:val="00A15994"/>
    <w:rsid w:val="00A17F61"/>
    <w:rsid w:val="00A17F85"/>
    <w:rsid w:val="00A20AAF"/>
    <w:rsid w:val="00A20F6E"/>
    <w:rsid w:val="00A2356E"/>
    <w:rsid w:val="00A237E5"/>
    <w:rsid w:val="00A23EAE"/>
    <w:rsid w:val="00A24440"/>
    <w:rsid w:val="00A247AC"/>
    <w:rsid w:val="00A24B8A"/>
    <w:rsid w:val="00A24DED"/>
    <w:rsid w:val="00A25698"/>
    <w:rsid w:val="00A25795"/>
    <w:rsid w:val="00A262D5"/>
    <w:rsid w:val="00A2776F"/>
    <w:rsid w:val="00A30B57"/>
    <w:rsid w:val="00A30B9E"/>
    <w:rsid w:val="00A32020"/>
    <w:rsid w:val="00A32495"/>
    <w:rsid w:val="00A32733"/>
    <w:rsid w:val="00A329CD"/>
    <w:rsid w:val="00A3392E"/>
    <w:rsid w:val="00A353BA"/>
    <w:rsid w:val="00A368C6"/>
    <w:rsid w:val="00A3691C"/>
    <w:rsid w:val="00A36F8C"/>
    <w:rsid w:val="00A37D16"/>
    <w:rsid w:val="00A4036D"/>
    <w:rsid w:val="00A41D21"/>
    <w:rsid w:val="00A41E9F"/>
    <w:rsid w:val="00A420B5"/>
    <w:rsid w:val="00A423B6"/>
    <w:rsid w:val="00A42E16"/>
    <w:rsid w:val="00A43AE2"/>
    <w:rsid w:val="00A451E0"/>
    <w:rsid w:val="00A453CF"/>
    <w:rsid w:val="00A4549A"/>
    <w:rsid w:val="00A46741"/>
    <w:rsid w:val="00A46EAB"/>
    <w:rsid w:val="00A47379"/>
    <w:rsid w:val="00A47A1B"/>
    <w:rsid w:val="00A50D97"/>
    <w:rsid w:val="00A54735"/>
    <w:rsid w:val="00A5633E"/>
    <w:rsid w:val="00A579FE"/>
    <w:rsid w:val="00A627B3"/>
    <w:rsid w:val="00A62F23"/>
    <w:rsid w:val="00A631AD"/>
    <w:rsid w:val="00A639EE"/>
    <w:rsid w:val="00A64AA1"/>
    <w:rsid w:val="00A64F42"/>
    <w:rsid w:val="00A65E4C"/>
    <w:rsid w:val="00A66332"/>
    <w:rsid w:val="00A6745C"/>
    <w:rsid w:val="00A70317"/>
    <w:rsid w:val="00A73E82"/>
    <w:rsid w:val="00A74080"/>
    <w:rsid w:val="00A74D4A"/>
    <w:rsid w:val="00A77099"/>
    <w:rsid w:val="00A77841"/>
    <w:rsid w:val="00A77D51"/>
    <w:rsid w:val="00A827EC"/>
    <w:rsid w:val="00A83EE7"/>
    <w:rsid w:val="00A84D1C"/>
    <w:rsid w:val="00A851E6"/>
    <w:rsid w:val="00A85588"/>
    <w:rsid w:val="00A86938"/>
    <w:rsid w:val="00A8751F"/>
    <w:rsid w:val="00A938EA"/>
    <w:rsid w:val="00A93D31"/>
    <w:rsid w:val="00A94B61"/>
    <w:rsid w:val="00A96502"/>
    <w:rsid w:val="00A97E12"/>
    <w:rsid w:val="00AA0AFD"/>
    <w:rsid w:val="00AA0FD5"/>
    <w:rsid w:val="00AA1B52"/>
    <w:rsid w:val="00AA1EC8"/>
    <w:rsid w:val="00AA3ECF"/>
    <w:rsid w:val="00AA42ED"/>
    <w:rsid w:val="00AA4E4C"/>
    <w:rsid w:val="00AA654E"/>
    <w:rsid w:val="00AA6FB9"/>
    <w:rsid w:val="00AA7428"/>
    <w:rsid w:val="00AB0D33"/>
    <w:rsid w:val="00AB10A8"/>
    <w:rsid w:val="00AB2323"/>
    <w:rsid w:val="00AB3C7F"/>
    <w:rsid w:val="00AB5821"/>
    <w:rsid w:val="00AB7372"/>
    <w:rsid w:val="00AC088A"/>
    <w:rsid w:val="00AC0AA6"/>
    <w:rsid w:val="00AC2105"/>
    <w:rsid w:val="00AC2C03"/>
    <w:rsid w:val="00AD0B2A"/>
    <w:rsid w:val="00AD10B0"/>
    <w:rsid w:val="00AD1A2D"/>
    <w:rsid w:val="00AD28A7"/>
    <w:rsid w:val="00AD398F"/>
    <w:rsid w:val="00AD5F42"/>
    <w:rsid w:val="00AD6725"/>
    <w:rsid w:val="00AD7FB2"/>
    <w:rsid w:val="00AE0170"/>
    <w:rsid w:val="00AE03B1"/>
    <w:rsid w:val="00AE1B29"/>
    <w:rsid w:val="00AE2397"/>
    <w:rsid w:val="00AE2BE3"/>
    <w:rsid w:val="00AE2D44"/>
    <w:rsid w:val="00AE3068"/>
    <w:rsid w:val="00AE48A7"/>
    <w:rsid w:val="00AE501B"/>
    <w:rsid w:val="00AF0DD8"/>
    <w:rsid w:val="00AF23D7"/>
    <w:rsid w:val="00AF2882"/>
    <w:rsid w:val="00AF4C4F"/>
    <w:rsid w:val="00AF5AF3"/>
    <w:rsid w:val="00B02FB9"/>
    <w:rsid w:val="00B03EDF"/>
    <w:rsid w:val="00B0445C"/>
    <w:rsid w:val="00B049A6"/>
    <w:rsid w:val="00B07AE2"/>
    <w:rsid w:val="00B10269"/>
    <w:rsid w:val="00B102A3"/>
    <w:rsid w:val="00B1164B"/>
    <w:rsid w:val="00B11652"/>
    <w:rsid w:val="00B1195F"/>
    <w:rsid w:val="00B12771"/>
    <w:rsid w:val="00B12F75"/>
    <w:rsid w:val="00B142D0"/>
    <w:rsid w:val="00B148A8"/>
    <w:rsid w:val="00B15311"/>
    <w:rsid w:val="00B1630B"/>
    <w:rsid w:val="00B16D64"/>
    <w:rsid w:val="00B17AA1"/>
    <w:rsid w:val="00B214BB"/>
    <w:rsid w:val="00B2315B"/>
    <w:rsid w:val="00B2367D"/>
    <w:rsid w:val="00B2399A"/>
    <w:rsid w:val="00B23AF1"/>
    <w:rsid w:val="00B23FB9"/>
    <w:rsid w:val="00B242F9"/>
    <w:rsid w:val="00B24AF3"/>
    <w:rsid w:val="00B24D35"/>
    <w:rsid w:val="00B26C32"/>
    <w:rsid w:val="00B304DF"/>
    <w:rsid w:val="00B31B61"/>
    <w:rsid w:val="00B31BF0"/>
    <w:rsid w:val="00B325CD"/>
    <w:rsid w:val="00B329BB"/>
    <w:rsid w:val="00B3336D"/>
    <w:rsid w:val="00B335F8"/>
    <w:rsid w:val="00B34005"/>
    <w:rsid w:val="00B34AC0"/>
    <w:rsid w:val="00B40882"/>
    <w:rsid w:val="00B414A2"/>
    <w:rsid w:val="00B42DEC"/>
    <w:rsid w:val="00B44823"/>
    <w:rsid w:val="00B45176"/>
    <w:rsid w:val="00B452A5"/>
    <w:rsid w:val="00B46D25"/>
    <w:rsid w:val="00B52036"/>
    <w:rsid w:val="00B537B8"/>
    <w:rsid w:val="00B53E00"/>
    <w:rsid w:val="00B53EB1"/>
    <w:rsid w:val="00B546AE"/>
    <w:rsid w:val="00B54CA8"/>
    <w:rsid w:val="00B55DD5"/>
    <w:rsid w:val="00B560D5"/>
    <w:rsid w:val="00B57175"/>
    <w:rsid w:val="00B5764F"/>
    <w:rsid w:val="00B57E1C"/>
    <w:rsid w:val="00B60637"/>
    <w:rsid w:val="00B63D9E"/>
    <w:rsid w:val="00B64620"/>
    <w:rsid w:val="00B647F9"/>
    <w:rsid w:val="00B649A2"/>
    <w:rsid w:val="00B64AEB"/>
    <w:rsid w:val="00B64FF1"/>
    <w:rsid w:val="00B65C5E"/>
    <w:rsid w:val="00B6690C"/>
    <w:rsid w:val="00B70107"/>
    <w:rsid w:val="00B70374"/>
    <w:rsid w:val="00B70A4B"/>
    <w:rsid w:val="00B70C47"/>
    <w:rsid w:val="00B74649"/>
    <w:rsid w:val="00B74C8A"/>
    <w:rsid w:val="00B74D58"/>
    <w:rsid w:val="00B75603"/>
    <w:rsid w:val="00B76A4D"/>
    <w:rsid w:val="00B8075D"/>
    <w:rsid w:val="00B80E92"/>
    <w:rsid w:val="00B83B48"/>
    <w:rsid w:val="00B84871"/>
    <w:rsid w:val="00B852CE"/>
    <w:rsid w:val="00B85FCD"/>
    <w:rsid w:val="00B8751F"/>
    <w:rsid w:val="00B901DD"/>
    <w:rsid w:val="00B90F3B"/>
    <w:rsid w:val="00B93BA1"/>
    <w:rsid w:val="00B93C19"/>
    <w:rsid w:val="00B9452E"/>
    <w:rsid w:val="00B956A8"/>
    <w:rsid w:val="00B96661"/>
    <w:rsid w:val="00B9711C"/>
    <w:rsid w:val="00B97E25"/>
    <w:rsid w:val="00BA1D5B"/>
    <w:rsid w:val="00BA2065"/>
    <w:rsid w:val="00BA3095"/>
    <w:rsid w:val="00BA34E5"/>
    <w:rsid w:val="00BA6714"/>
    <w:rsid w:val="00BA6CF9"/>
    <w:rsid w:val="00BB01CE"/>
    <w:rsid w:val="00BB196C"/>
    <w:rsid w:val="00BB34D7"/>
    <w:rsid w:val="00BB5561"/>
    <w:rsid w:val="00BB5909"/>
    <w:rsid w:val="00BB6236"/>
    <w:rsid w:val="00BB7534"/>
    <w:rsid w:val="00BC0512"/>
    <w:rsid w:val="00BC13B6"/>
    <w:rsid w:val="00BC1998"/>
    <w:rsid w:val="00BC1F75"/>
    <w:rsid w:val="00BC2698"/>
    <w:rsid w:val="00BC2714"/>
    <w:rsid w:val="00BC3464"/>
    <w:rsid w:val="00BC5A04"/>
    <w:rsid w:val="00BC5A6B"/>
    <w:rsid w:val="00BC6195"/>
    <w:rsid w:val="00BC7F39"/>
    <w:rsid w:val="00BD01C2"/>
    <w:rsid w:val="00BD08C7"/>
    <w:rsid w:val="00BD0BD2"/>
    <w:rsid w:val="00BD0EAF"/>
    <w:rsid w:val="00BD12B7"/>
    <w:rsid w:val="00BD2DE6"/>
    <w:rsid w:val="00BD4EB0"/>
    <w:rsid w:val="00BD5054"/>
    <w:rsid w:val="00BD55A0"/>
    <w:rsid w:val="00BD69CB"/>
    <w:rsid w:val="00BD6CE1"/>
    <w:rsid w:val="00BD709B"/>
    <w:rsid w:val="00BD73D0"/>
    <w:rsid w:val="00BD7F81"/>
    <w:rsid w:val="00BE1792"/>
    <w:rsid w:val="00BE24E6"/>
    <w:rsid w:val="00BE2C85"/>
    <w:rsid w:val="00BE2D96"/>
    <w:rsid w:val="00BE2DF1"/>
    <w:rsid w:val="00BE3642"/>
    <w:rsid w:val="00BF06B4"/>
    <w:rsid w:val="00BF2C4B"/>
    <w:rsid w:val="00BF2C7C"/>
    <w:rsid w:val="00BF3392"/>
    <w:rsid w:val="00BF5045"/>
    <w:rsid w:val="00BF584C"/>
    <w:rsid w:val="00BF68EC"/>
    <w:rsid w:val="00BF6E82"/>
    <w:rsid w:val="00C00357"/>
    <w:rsid w:val="00C00428"/>
    <w:rsid w:val="00C00944"/>
    <w:rsid w:val="00C011D6"/>
    <w:rsid w:val="00C01D19"/>
    <w:rsid w:val="00C05CF3"/>
    <w:rsid w:val="00C05F53"/>
    <w:rsid w:val="00C06123"/>
    <w:rsid w:val="00C0640D"/>
    <w:rsid w:val="00C06D1E"/>
    <w:rsid w:val="00C078FC"/>
    <w:rsid w:val="00C07E4A"/>
    <w:rsid w:val="00C07F18"/>
    <w:rsid w:val="00C114CC"/>
    <w:rsid w:val="00C11CDF"/>
    <w:rsid w:val="00C134B2"/>
    <w:rsid w:val="00C13D59"/>
    <w:rsid w:val="00C14CC2"/>
    <w:rsid w:val="00C160F5"/>
    <w:rsid w:val="00C16786"/>
    <w:rsid w:val="00C212EF"/>
    <w:rsid w:val="00C21610"/>
    <w:rsid w:val="00C247FB"/>
    <w:rsid w:val="00C249F2"/>
    <w:rsid w:val="00C25D14"/>
    <w:rsid w:val="00C26ABB"/>
    <w:rsid w:val="00C26CFB"/>
    <w:rsid w:val="00C27E7F"/>
    <w:rsid w:val="00C31313"/>
    <w:rsid w:val="00C313EF"/>
    <w:rsid w:val="00C32404"/>
    <w:rsid w:val="00C32B89"/>
    <w:rsid w:val="00C34107"/>
    <w:rsid w:val="00C35F75"/>
    <w:rsid w:val="00C374AB"/>
    <w:rsid w:val="00C37511"/>
    <w:rsid w:val="00C378A6"/>
    <w:rsid w:val="00C37A42"/>
    <w:rsid w:val="00C37BB0"/>
    <w:rsid w:val="00C4040B"/>
    <w:rsid w:val="00C40A0D"/>
    <w:rsid w:val="00C40DBD"/>
    <w:rsid w:val="00C41A28"/>
    <w:rsid w:val="00C41C26"/>
    <w:rsid w:val="00C438A9"/>
    <w:rsid w:val="00C43FCF"/>
    <w:rsid w:val="00C44905"/>
    <w:rsid w:val="00C44CD7"/>
    <w:rsid w:val="00C45296"/>
    <w:rsid w:val="00C46C17"/>
    <w:rsid w:val="00C474CC"/>
    <w:rsid w:val="00C51BF2"/>
    <w:rsid w:val="00C52417"/>
    <w:rsid w:val="00C52D55"/>
    <w:rsid w:val="00C53D35"/>
    <w:rsid w:val="00C54214"/>
    <w:rsid w:val="00C54596"/>
    <w:rsid w:val="00C558DC"/>
    <w:rsid w:val="00C56635"/>
    <w:rsid w:val="00C567F0"/>
    <w:rsid w:val="00C567F7"/>
    <w:rsid w:val="00C577A2"/>
    <w:rsid w:val="00C60086"/>
    <w:rsid w:val="00C601AB"/>
    <w:rsid w:val="00C6074C"/>
    <w:rsid w:val="00C608E3"/>
    <w:rsid w:val="00C60AE7"/>
    <w:rsid w:val="00C61657"/>
    <w:rsid w:val="00C62EA4"/>
    <w:rsid w:val="00C63B2F"/>
    <w:rsid w:val="00C67DD8"/>
    <w:rsid w:val="00C70588"/>
    <w:rsid w:val="00C7062F"/>
    <w:rsid w:val="00C732F6"/>
    <w:rsid w:val="00C73630"/>
    <w:rsid w:val="00C73731"/>
    <w:rsid w:val="00C73AC5"/>
    <w:rsid w:val="00C74AFE"/>
    <w:rsid w:val="00C75099"/>
    <w:rsid w:val="00C752F4"/>
    <w:rsid w:val="00C75350"/>
    <w:rsid w:val="00C76828"/>
    <w:rsid w:val="00C80094"/>
    <w:rsid w:val="00C80BF7"/>
    <w:rsid w:val="00C81F08"/>
    <w:rsid w:val="00C8497A"/>
    <w:rsid w:val="00C85373"/>
    <w:rsid w:val="00C85E4B"/>
    <w:rsid w:val="00C8688E"/>
    <w:rsid w:val="00C868E3"/>
    <w:rsid w:val="00C86B5D"/>
    <w:rsid w:val="00C86CAC"/>
    <w:rsid w:val="00C86EA9"/>
    <w:rsid w:val="00C8757A"/>
    <w:rsid w:val="00C876C7"/>
    <w:rsid w:val="00C91E1A"/>
    <w:rsid w:val="00C921CA"/>
    <w:rsid w:val="00C92324"/>
    <w:rsid w:val="00C931E4"/>
    <w:rsid w:val="00C93832"/>
    <w:rsid w:val="00C93968"/>
    <w:rsid w:val="00C96697"/>
    <w:rsid w:val="00CA0CE3"/>
    <w:rsid w:val="00CA101C"/>
    <w:rsid w:val="00CA1278"/>
    <w:rsid w:val="00CA420B"/>
    <w:rsid w:val="00CA511B"/>
    <w:rsid w:val="00CA5713"/>
    <w:rsid w:val="00CA672C"/>
    <w:rsid w:val="00CA7813"/>
    <w:rsid w:val="00CB0110"/>
    <w:rsid w:val="00CB0414"/>
    <w:rsid w:val="00CB1809"/>
    <w:rsid w:val="00CB21D8"/>
    <w:rsid w:val="00CB2A6D"/>
    <w:rsid w:val="00CB4F1A"/>
    <w:rsid w:val="00CC066A"/>
    <w:rsid w:val="00CC1AFC"/>
    <w:rsid w:val="00CC2052"/>
    <w:rsid w:val="00CC3318"/>
    <w:rsid w:val="00CC3C29"/>
    <w:rsid w:val="00CC5479"/>
    <w:rsid w:val="00CC60E6"/>
    <w:rsid w:val="00CC65C3"/>
    <w:rsid w:val="00CC65E7"/>
    <w:rsid w:val="00CC7C3A"/>
    <w:rsid w:val="00CD0BDB"/>
    <w:rsid w:val="00CD194E"/>
    <w:rsid w:val="00CD2EF5"/>
    <w:rsid w:val="00CD382E"/>
    <w:rsid w:val="00CD3E24"/>
    <w:rsid w:val="00CD3FB3"/>
    <w:rsid w:val="00CD498E"/>
    <w:rsid w:val="00CD620B"/>
    <w:rsid w:val="00CD6749"/>
    <w:rsid w:val="00CD7291"/>
    <w:rsid w:val="00CE02C3"/>
    <w:rsid w:val="00CE10BD"/>
    <w:rsid w:val="00CE13EB"/>
    <w:rsid w:val="00CE3120"/>
    <w:rsid w:val="00CE3400"/>
    <w:rsid w:val="00CE5EDA"/>
    <w:rsid w:val="00CE6271"/>
    <w:rsid w:val="00CF2176"/>
    <w:rsid w:val="00CF3E2A"/>
    <w:rsid w:val="00CF4786"/>
    <w:rsid w:val="00CF4E80"/>
    <w:rsid w:val="00CF686C"/>
    <w:rsid w:val="00CF71DF"/>
    <w:rsid w:val="00D00114"/>
    <w:rsid w:val="00D004AA"/>
    <w:rsid w:val="00D06074"/>
    <w:rsid w:val="00D063D8"/>
    <w:rsid w:val="00D103DB"/>
    <w:rsid w:val="00D11FFE"/>
    <w:rsid w:val="00D1252B"/>
    <w:rsid w:val="00D12D87"/>
    <w:rsid w:val="00D13DEA"/>
    <w:rsid w:val="00D14910"/>
    <w:rsid w:val="00D20A8F"/>
    <w:rsid w:val="00D20E68"/>
    <w:rsid w:val="00D24B2E"/>
    <w:rsid w:val="00D2606B"/>
    <w:rsid w:val="00D26083"/>
    <w:rsid w:val="00D26406"/>
    <w:rsid w:val="00D2646F"/>
    <w:rsid w:val="00D26FD6"/>
    <w:rsid w:val="00D2722B"/>
    <w:rsid w:val="00D275A8"/>
    <w:rsid w:val="00D310AD"/>
    <w:rsid w:val="00D318B1"/>
    <w:rsid w:val="00D31B1A"/>
    <w:rsid w:val="00D32DE5"/>
    <w:rsid w:val="00D36968"/>
    <w:rsid w:val="00D36A12"/>
    <w:rsid w:val="00D36AD9"/>
    <w:rsid w:val="00D37933"/>
    <w:rsid w:val="00D41150"/>
    <w:rsid w:val="00D413EF"/>
    <w:rsid w:val="00D425EA"/>
    <w:rsid w:val="00D42898"/>
    <w:rsid w:val="00D47295"/>
    <w:rsid w:val="00D50853"/>
    <w:rsid w:val="00D51984"/>
    <w:rsid w:val="00D51AE6"/>
    <w:rsid w:val="00D55F55"/>
    <w:rsid w:val="00D561EC"/>
    <w:rsid w:val="00D56917"/>
    <w:rsid w:val="00D626B9"/>
    <w:rsid w:val="00D62766"/>
    <w:rsid w:val="00D62BA2"/>
    <w:rsid w:val="00D62EDD"/>
    <w:rsid w:val="00D63108"/>
    <w:rsid w:val="00D63311"/>
    <w:rsid w:val="00D65575"/>
    <w:rsid w:val="00D65DD5"/>
    <w:rsid w:val="00D65F23"/>
    <w:rsid w:val="00D665B0"/>
    <w:rsid w:val="00D66D9D"/>
    <w:rsid w:val="00D67CB3"/>
    <w:rsid w:val="00D7055B"/>
    <w:rsid w:val="00D72D33"/>
    <w:rsid w:val="00D7358B"/>
    <w:rsid w:val="00D74F2F"/>
    <w:rsid w:val="00D766CD"/>
    <w:rsid w:val="00D774A8"/>
    <w:rsid w:val="00D8028F"/>
    <w:rsid w:val="00D8078C"/>
    <w:rsid w:val="00D851E1"/>
    <w:rsid w:val="00D854A9"/>
    <w:rsid w:val="00D85FCC"/>
    <w:rsid w:val="00D86828"/>
    <w:rsid w:val="00D87C6F"/>
    <w:rsid w:val="00D87F44"/>
    <w:rsid w:val="00D905A9"/>
    <w:rsid w:val="00D9099F"/>
    <w:rsid w:val="00D90BD5"/>
    <w:rsid w:val="00D911A2"/>
    <w:rsid w:val="00D91A1F"/>
    <w:rsid w:val="00D9258F"/>
    <w:rsid w:val="00D9575C"/>
    <w:rsid w:val="00D959A4"/>
    <w:rsid w:val="00D95AC7"/>
    <w:rsid w:val="00D96FBB"/>
    <w:rsid w:val="00D97F8E"/>
    <w:rsid w:val="00DA03F0"/>
    <w:rsid w:val="00DA0B1C"/>
    <w:rsid w:val="00DA22A4"/>
    <w:rsid w:val="00DA2518"/>
    <w:rsid w:val="00DA34EA"/>
    <w:rsid w:val="00DA351A"/>
    <w:rsid w:val="00DA38E2"/>
    <w:rsid w:val="00DA68AD"/>
    <w:rsid w:val="00DB1DB6"/>
    <w:rsid w:val="00DB2541"/>
    <w:rsid w:val="00DB3298"/>
    <w:rsid w:val="00DB41A0"/>
    <w:rsid w:val="00DB4925"/>
    <w:rsid w:val="00DB504A"/>
    <w:rsid w:val="00DB55ED"/>
    <w:rsid w:val="00DC1118"/>
    <w:rsid w:val="00DC22C0"/>
    <w:rsid w:val="00DC3DA4"/>
    <w:rsid w:val="00DC4B44"/>
    <w:rsid w:val="00DC4B76"/>
    <w:rsid w:val="00DC4DD6"/>
    <w:rsid w:val="00DC4F00"/>
    <w:rsid w:val="00DC5274"/>
    <w:rsid w:val="00DC60E1"/>
    <w:rsid w:val="00DC6A9B"/>
    <w:rsid w:val="00DD083F"/>
    <w:rsid w:val="00DD3CCE"/>
    <w:rsid w:val="00DD4716"/>
    <w:rsid w:val="00DD4EB6"/>
    <w:rsid w:val="00DD5237"/>
    <w:rsid w:val="00DD548D"/>
    <w:rsid w:val="00DD56F0"/>
    <w:rsid w:val="00DD6D5E"/>
    <w:rsid w:val="00DE021E"/>
    <w:rsid w:val="00DE04DD"/>
    <w:rsid w:val="00DE0976"/>
    <w:rsid w:val="00DE0FAA"/>
    <w:rsid w:val="00DE1BBC"/>
    <w:rsid w:val="00DE2E54"/>
    <w:rsid w:val="00DE34DB"/>
    <w:rsid w:val="00DE3B04"/>
    <w:rsid w:val="00DE52BF"/>
    <w:rsid w:val="00DE56F2"/>
    <w:rsid w:val="00DE575F"/>
    <w:rsid w:val="00DE5ED5"/>
    <w:rsid w:val="00DE6A23"/>
    <w:rsid w:val="00DF0F61"/>
    <w:rsid w:val="00DF1D4D"/>
    <w:rsid w:val="00DF20CC"/>
    <w:rsid w:val="00DF3369"/>
    <w:rsid w:val="00DF343A"/>
    <w:rsid w:val="00DF5E72"/>
    <w:rsid w:val="00DF65D6"/>
    <w:rsid w:val="00DF797B"/>
    <w:rsid w:val="00DF7A8E"/>
    <w:rsid w:val="00E0034C"/>
    <w:rsid w:val="00E00F2B"/>
    <w:rsid w:val="00E01300"/>
    <w:rsid w:val="00E025ED"/>
    <w:rsid w:val="00E026E4"/>
    <w:rsid w:val="00E0491A"/>
    <w:rsid w:val="00E04E60"/>
    <w:rsid w:val="00E056AF"/>
    <w:rsid w:val="00E05977"/>
    <w:rsid w:val="00E07B0E"/>
    <w:rsid w:val="00E07D1C"/>
    <w:rsid w:val="00E1140F"/>
    <w:rsid w:val="00E11435"/>
    <w:rsid w:val="00E141B8"/>
    <w:rsid w:val="00E142BC"/>
    <w:rsid w:val="00E158BD"/>
    <w:rsid w:val="00E20269"/>
    <w:rsid w:val="00E22470"/>
    <w:rsid w:val="00E227EC"/>
    <w:rsid w:val="00E251AB"/>
    <w:rsid w:val="00E26D87"/>
    <w:rsid w:val="00E2714A"/>
    <w:rsid w:val="00E27E6A"/>
    <w:rsid w:val="00E32DF8"/>
    <w:rsid w:val="00E33DEF"/>
    <w:rsid w:val="00E34083"/>
    <w:rsid w:val="00E342EC"/>
    <w:rsid w:val="00E349A4"/>
    <w:rsid w:val="00E36096"/>
    <w:rsid w:val="00E36708"/>
    <w:rsid w:val="00E40D1D"/>
    <w:rsid w:val="00E418E8"/>
    <w:rsid w:val="00E41C20"/>
    <w:rsid w:val="00E4378E"/>
    <w:rsid w:val="00E437FF"/>
    <w:rsid w:val="00E43B42"/>
    <w:rsid w:val="00E44269"/>
    <w:rsid w:val="00E45D9E"/>
    <w:rsid w:val="00E46759"/>
    <w:rsid w:val="00E5124B"/>
    <w:rsid w:val="00E538A2"/>
    <w:rsid w:val="00E54031"/>
    <w:rsid w:val="00E54CDB"/>
    <w:rsid w:val="00E55D53"/>
    <w:rsid w:val="00E565B2"/>
    <w:rsid w:val="00E56875"/>
    <w:rsid w:val="00E57464"/>
    <w:rsid w:val="00E57712"/>
    <w:rsid w:val="00E603FB"/>
    <w:rsid w:val="00E6411A"/>
    <w:rsid w:val="00E641E5"/>
    <w:rsid w:val="00E648C5"/>
    <w:rsid w:val="00E64F72"/>
    <w:rsid w:val="00E652EF"/>
    <w:rsid w:val="00E65719"/>
    <w:rsid w:val="00E65996"/>
    <w:rsid w:val="00E702FD"/>
    <w:rsid w:val="00E7149B"/>
    <w:rsid w:val="00E731D6"/>
    <w:rsid w:val="00E734D0"/>
    <w:rsid w:val="00E76DBE"/>
    <w:rsid w:val="00E77827"/>
    <w:rsid w:val="00E8056D"/>
    <w:rsid w:val="00E80EEB"/>
    <w:rsid w:val="00E83583"/>
    <w:rsid w:val="00E847FA"/>
    <w:rsid w:val="00E87466"/>
    <w:rsid w:val="00E87CFB"/>
    <w:rsid w:val="00E909B0"/>
    <w:rsid w:val="00E90D3E"/>
    <w:rsid w:val="00E90F13"/>
    <w:rsid w:val="00E91701"/>
    <w:rsid w:val="00E93C12"/>
    <w:rsid w:val="00E940EB"/>
    <w:rsid w:val="00E95367"/>
    <w:rsid w:val="00E955B8"/>
    <w:rsid w:val="00E97A98"/>
    <w:rsid w:val="00EA0660"/>
    <w:rsid w:val="00EA06A4"/>
    <w:rsid w:val="00EA1A12"/>
    <w:rsid w:val="00EA2055"/>
    <w:rsid w:val="00EA303A"/>
    <w:rsid w:val="00EA3393"/>
    <w:rsid w:val="00EA3E3B"/>
    <w:rsid w:val="00EA446E"/>
    <w:rsid w:val="00EA46D1"/>
    <w:rsid w:val="00EA47A7"/>
    <w:rsid w:val="00EA4A64"/>
    <w:rsid w:val="00EA4AA6"/>
    <w:rsid w:val="00EA56E2"/>
    <w:rsid w:val="00EA6F1E"/>
    <w:rsid w:val="00EB10C7"/>
    <w:rsid w:val="00EB19EA"/>
    <w:rsid w:val="00EB28C1"/>
    <w:rsid w:val="00EB2F82"/>
    <w:rsid w:val="00EB371D"/>
    <w:rsid w:val="00EB42EE"/>
    <w:rsid w:val="00EB468D"/>
    <w:rsid w:val="00EB4B6D"/>
    <w:rsid w:val="00EB6A16"/>
    <w:rsid w:val="00EB6A6B"/>
    <w:rsid w:val="00EB7B75"/>
    <w:rsid w:val="00EC0195"/>
    <w:rsid w:val="00EC1B95"/>
    <w:rsid w:val="00EC38E6"/>
    <w:rsid w:val="00EC3F28"/>
    <w:rsid w:val="00EC4DB5"/>
    <w:rsid w:val="00EC4E39"/>
    <w:rsid w:val="00EC69B3"/>
    <w:rsid w:val="00EC73EE"/>
    <w:rsid w:val="00ED16E6"/>
    <w:rsid w:val="00ED34B2"/>
    <w:rsid w:val="00ED513F"/>
    <w:rsid w:val="00ED6144"/>
    <w:rsid w:val="00ED6893"/>
    <w:rsid w:val="00ED766D"/>
    <w:rsid w:val="00EE095D"/>
    <w:rsid w:val="00EE1715"/>
    <w:rsid w:val="00EE1B31"/>
    <w:rsid w:val="00EE326E"/>
    <w:rsid w:val="00EE3649"/>
    <w:rsid w:val="00EE3B6D"/>
    <w:rsid w:val="00EE3E0C"/>
    <w:rsid w:val="00EE3FAC"/>
    <w:rsid w:val="00EE545F"/>
    <w:rsid w:val="00EE54FC"/>
    <w:rsid w:val="00EE5C9E"/>
    <w:rsid w:val="00EE6067"/>
    <w:rsid w:val="00EE6217"/>
    <w:rsid w:val="00EE76C1"/>
    <w:rsid w:val="00EF0245"/>
    <w:rsid w:val="00EF2525"/>
    <w:rsid w:val="00EF3FA3"/>
    <w:rsid w:val="00EF5875"/>
    <w:rsid w:val="00EF6801"/>
    <w:rsid w:val="00EF6B27"/>
    <w:rsid w:val="00F00627"/>
    <w:rsid w:val="00F00832"/>
    <w:rsid w:val="00F00B8D"/>
    <w:rsid w:val="00F016C6"/>
    <w:rsid w:val="00F016E8"/>
    <w:rsid w:val="00F03CAF"/>
    <w:rsid w:val="00F04EC4"/>
    <w:rsid w:val="00F0630A"/>
    <w:rsid w:val="00F07EE6"/>
    <w:rsid w:val="00F11BA8"/>
    <w:rsid w:val="00F12460"/>
    <w:rsid w:val="00F125E8"/>
    <w:rsid w:val="00F13BDD"/>
    <w:rsid w:val="00F141F9"/>
    <w:rsid w:val="00F162B5"/>
    <w:rsid w:val="00F166F4"/>
    <w:rsid w:val="00F179F2"/>
    <w:rsid w:val="00F17A54"/>
    <w:rsid w:val="00F20334"/>
    <w:rsid w:val="00F20A3D"/>
    <w:rsid w:val="00F20A8E"/>
    <w:rsid w:val="00F214AF"/>
    <w:rsid w:val="00F21A9F"/>
    <w:rsid w:val="00F23A9A"/>
    <w:rsid w:val="00F2468C"/>
    <w:rsid w:val="00F25A7A"/>
    <w:rsid w:val="00F25EE5"/>
    <w:rsid w:val="00F26879"/>
    <w:rsid w:val="00F279D5"/>
    <w:rsid w:val="00F3014C"/>
    <w:rsid w:val="00F30917"/>
    <w:rsid w:val="00F31850"/>
    <w:rsid w:val="00F32D78"/>
    <w:rsid w:val="00F341E2"/>
    <w:rsid w:val="00F34851"/>
    <w:rsid w:val="00F34C8D"/>
    <w:rsid w:val="00F36431"/>
    <w:rsid w:val="00F36DD9"/>
    <w:rsid w:val="00F37284"/>
    <w:rsid w:val="00F414A6"/>
    <w:rsid w:val="00F41C65"/>
    <w:rsid w:val="00F434A4"/>
    <w:rsid w:val="00F453B3"/>
    <w:rsid w:val="00F454CD"/>
    <w:rsid w:val="00F4553D"/>
    <w:rsid w:val="00F45BC8"/>
    <w:rsid w:val="00F45E00"/>
    <w:rsid w:val="00F46AB1"/>
    <w:rsid w:val="00F502C8"/>
    <w:rsid w:val="00F50987"/>
    <w:rsid w:val="00F53752"/>
    <w:rsid w:val="00F53E66"/>
    <w:rsid w:val="00F545C6"/>
    <w:rsid w:val="00F54724"/>
    <w:rsid w:val="00F55170"/>
    <w:rsid w:val="00F5617F"/>
    <w:rsid w:val="00F57473"/>
    <w:rsid w:val="00F57806"/>
    <w:rsid w:val="00F60023"/>
    <w:rsid w:val="00F6068E"/>
    <w:rsid w:val="00F606DA"/>
    <w:rsid w:val="00F61B8E"/>
    <w:rsid w:val="00F632A1"/>
    <w:rsid w:val="00F67754"/>
    <w:rsid w:val="00F67F12"/>
    <w:rsid w:val="00F70260"/>
    <w:rsid w:val="00F70AFA"/>
    <w:rsid w:val="00F72093"/>
    <w:rsid w:val="00F74136"/>
    <w:rsid w:val="00F74225"/>
    <w:rsid w:val="00F75065"/>
    <w:rsid w:val="00F768C8"/>
    <w:rsid w:val="00F76935"/>
    <w:rsid w:val="00F77899"/>
    <w:rsid w:val="00F77A98"/>
    <w:rsid w:val="00F80410"/>
    <w:rsid w:val="00F812EB"/>
    <w:rsid w:val="00F830A9"/>
    <w:rsid w:val="00F83110"/>
    <w:rsid w:val="00F8404D"/>
    <w:rsid w:val="00F840BA"/>
    <w:rsid w:val="00F84154"/>
    <w:rsid w:val="00F85767"/>
    <w:rsid w:val="00F8582C"/>
    <w:rsid w:val="00F85DC0"/>
    <w:rsid w:val="00F8626E"/>
    <w:rsid w:val="00F864CF"/>
    <w:rsid w:val="00F873C9"/>
    <w:rsid w:val="00F906E1"/>
    <w:rsid w:val="00F90EC9"/>
    <w:rsid w:val="00F9113D"/>
    <w:rsid w:val="00F91C4B"/>
    <w:rsid w:val="00F93ADC"/>
    <w:rsid w:val="00F93B34"/>
    <w:rsid w:val="00F9410D"/>
    <w:rsid w:val="00F941C1"/>
    <w:rsid w:val="00F9477E"/>
    <w:rsid w:val="00F95A64"/>
    <w:rsid w:val="00F95C5B"/>
    <w:rsid w:val="00F96046"/>
    <w:rsid w:val="00F96FF7"/>
    <w:rsid w:val="00F97960"/>
    <w:rsid w:val="00FA119A"/>
    <w:rsid w:val="00FA3119"/>
    <w:rsid w:val="00FA3356"/>
    <w:rsid w:val="00FA4376"/>
    <w:rsid w:val="00FA4A28"/>
    <w:rsid w:val="00FA69E9"/>
    <w:rsid w:val="00FB04C5"/>
    <w:rsid w:val="00FB0D2D"/>
    <w:rsid w:val="00FB2914"/>
    <w:rsid w:val="00FB5333"/>
    <w:rsid w:val="00FB663E"/>
    <w:rsid w:val="00FB67D9"/>
    <w:rsid w:val="00FB7BEA"/>
    <w:rsid w:val="00FC0E86"/>
    <w:rsid w:val="00FC13D0"/>
    <w:rsid w:val="00FC3A42"/>
    <w:rsid w:val="00FC43A3"/>
    <w:rsid w:val="00FC47CE"/>
    <w:rsid w:val="00FC5E17"/>
    <w:rsid w:val="00FC71BE"/>
    <w:rsid w:val="00FD1073"/>
    <w:rsid w:val="00FD1441"/>
    <w:rsid w:val="00FD32D0"/>
    <w:rsid w:val="00FD36E1"/>
    <w:rsid w:val="00FD551C"/>
    <w:rsid w:val="00FD57DC"/>
    <w:rsid w:val="00FD6047"/>
    <w:rsid w:val="00FD6386"/>
    <w:rsid w:val="00FE09DD"/>
    <w:rsid w:val="00FE0C9E"/>
    <w:rsid w:val="00FE0E2D"/>
    <w:rsid w:val="00FE0EA6"/>
    <w:rsid w:val="00FE14DD"/>
    <w:rsid w:val="00FE18D2"/>
    <w:rsid w:val="00FE19B7"/>
    <w:rsid w:val="00FE221F"/>
    <w:rsid w:val="00FE2385"/>
    <w:rsid w:val="00FE3C7E"/>
    <w:rsid w:val="00FE4DA6"/>
    <w:rsid w:val="00FE6254"/>
    <w:rsid w:val="00FE7CF5"/>
    <w:rsid w:val="00FF1047"/>
    <w:rsid w:val="00FF1D6C"/>
    <w:rsid w:val="00FF2CE8"/>
    <w:rsid w:val="00FF3884"/>
    <w:rsid w:val="00FF7040"/>
    <w:rsid w:val="00FF798C"/>
    <w:rsid w:val="3AB8B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A72F5D"/>
  <w14:defaultImageDpi w14:val="300"/>
  <w15:docId w15:val="{1F63EB59-E79E-4042-9618-D380ECA7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unhideWhenUsed/>
    <w:rsid w:val="002B598E"/>
    <w:rPr>
      <w:sz w:val="20"/>
      <w:szCs w:val="20"/>
    </w:rPr>
  </w:style>
  <w:style w:type="character" w:customStyle="1" w:styleId="FootnoteTextChar">
    <w:name w:val="Footnote Text Char"/>
    <w:basedOn w:val="DefaultParagraphFont"/>
    <w:link w:val="FootnoteText"/>
    <w:uiPriority w:val="99"/>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B598E"/>
    <w:rPr>
      <w:vertAlign w:val="superscript"/>
    </w:rPr>
  </w:style>
  <w:style w:type="paragraph" w:customStyle="1" w:styleId="paragraph">
    <w:name w:val="paragraph"/>
    <w:basedOn w:val="Normal"/>
    <w:rsid w:val="00A47379"/>
    <w:rPr>
      <w:lang w:eastAsia="en-AU"/>
    </w:rPr>
  </w:style>
  <w:style w:type="character" w:customStyle="1" w:styleId="normaltextrun1">
    <w:name w:val="normaltextrun1"/>
    <w:basedOn w:val="DefaultParagraphFont"/>
    <w:rsid w:val="00A47379"/>
  </w:style>
  <w:style w:type="character" w:customStyle="1" w:styleId="eop">
    <w:name w:val="eop"/>
    <w:basedOn w:val="DefaultParagraphFont"/>
    <w:rsid w:val="00A47379"/>
  </w:style>
  <w:style w:type="paragraph" w:customStyle="1" w:styleId="DraftHeading2">
    <w:name w:val="Draft Heading 2"/>
    <w:basedOn w:val="Normal"/>
    <w:next w:val="Normal"/>
    <w:link w:val="DraftHeading2Char"/>
    <w:rsid w:val="009A43E6"/>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9A43E6"/>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9A43E6"/>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9A43E6"/>
    <w:pPr>
      <w:overflowPunct w:val="0"/>
      <w:autoSpaceDE w:val="0"/>
      <w:autoSpaceDN w:val="0"/>
      <w:adjustRightInd w:val="0"/>
      <w:spacing w:before="120"/>
      <w:textAlignment w:val="baseline"/>
      <w:outlineLvl w:val="2"/>
    </w:pPr>
    <w:rPr>
      <w:b/>
    </w:rPr>
  </w:style>
  <w:style w:type="character" w:customStyle="1" w:styleId="DraftHeading1Char">
    <w:name w:val="Draft Heading 1 Char"/>
    <w:basedOn w:val="DefaultParagraphFont"/>
    <w:link w:val="DraftHeading1"/>
    <w:locked/>
    <w:rsid w:val="009A43E6"/>
    <w:rPr>
      <w:rFonts w:ascii="Times New Roman" w:eastAsia="Times New Roman" w:hAnsi="Times New Roman" w:cs="Times New Roman"/>
      <w:b/>
      <w:lang w:val="en-AU"/>
    </w:rPr>
  </w:style>
  <w:style w:type="character" w:customStyle="1" w:styleId="DraftHeading2Char">
    <w:name w:val="Draft Heading 2 Char"/>
    <w:basedOn w:val="DefaultParagraphFont"/>
    <w:link w:val="DraftHeading2"/>
    <w:rsid w:val="009A43E6"/>
    <w:rPr>
      <w:rFonts w:ascii="Times New Roman" w:eastAsia="Times New Roman" w:hAnsi="Times New Roman" w:cs="Times New Roman"/>
      <w:szCs w:val="20"/>
      <w:lang w:val="en-AU"/>
    </w:rPr>
  </w:style>
  <w:style w:type="paragraph" w:customStyle="1" w:styleId="m-6825622569451543593msolistparagraph">
    <w:name w:val="m_-6825622569451543593msolistparagraph"/>
    <w:basedOn w:val="Normal"/>
    <w:rsid w:val="00BC13B6"/>
    <w:pPr>
      <w:spacing w:before="100" w:beforeAutospacing="1" w:after="100" w:afterAutospacing="1"/>
    </w:pPr>
    <w:rPr>
      <w:lang w:eastAsia="en-AU"/>
    </w:rPr>
  </w:style>
  <w:style w:type="paragraph" w:styleId="Quote">
    <w:name w:val="Quote"/>
    <w:basedOn w:val="Normal"/>
    <w:next w:val="Normal"/>
    <w:link w:val="QuoteChar"/>
    <w:uiPriority w:val="29"/>
    <w:qFormat/>
    <w:rsid w:val="00AD39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98F"/>
    <w:rPr>
      <w:rFonts w:ascii="Times New Roman" w:eastAsia="Times New Roman" w:hAnsi="Times New Roman" w:cs="Times New Roman"/>
      <w:i/>
      <w:iCs/>
      <w:color w:val="404040" w:themeColor="text1" w:themeTint="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6126">
      <w:bodyDiv w:val="1"/>
      <w:marLeft w:val="0"/>
      <w:marRight w:val="0"/>
      <w:marTop w:val="0"/>
      <w:marBottom w:val="0"/>
      <w:divBdr>
        <w:top w:val="none" w:sz="0" w:space="0" w:color="auto"/>
        <w:left w:val="none" w:sz="0" w:space="0" w:color="auto"/>
        <w:bottom w:val="none" w:sz="0" w:space="0" w:color="auto"/>
        <w:right w:val="none" w:sz="0" w:space="0" w:color="auto"/>
      </w:divBdr>
    </w:div>
    <w:div w:id="1127775531">
      <w:bodyDiv w:val="1"/>
      <w:marLeft w:val="0"/>
      <w:marRight w:val="0"/>
      <w:marTop w:val="0"/>
      <w:marBottom w:val="0"/>
      <w:divBdr>
        <w:top w:val="none" w:sz="0" w:space="0" w:color="auto"/>
        <w:left w:val="none" w:sz="0" w:space="0" w:color="auto"/>
        <w:bottom w:val="none" w:sz="0" w:space="0" w:color="auto"/>
        <w:right w:val="none" w:sz="0" w:space="0" w:color="auto"/>
      </w:divBdr>
    </w:div>
    <w:div w:id="1447696312">
      <w:bodyDiv w:val="1"/>
      <w:marLeft w:val="0"/>
      <w:marRight w:val="0"/>
      <w:marTop w:val="0"/>
      <w:marBottom w:val="0"/>
      <w:divBdr>
        <w:top w:val="none" w:sz="0" w:space="0" w:color="auto"/>
        <w:left w:val="none" w:sz="0" w:space="0" w:color="auto"/>
        <w:bottom w:val="none" w:sz="0" w:space="0" w:color="auto"/>
        <w:right w:val="none" w:sz="0" w:space="0" w:color="auto"/>
      </w:divBdr>
    </w:div>
    <w:div w:id="1708988441">
      <w:bodyDiv w:val="1"/>
      <w:marLeft w:val="0"/>
      <w:marRight w:val="0"/>
      <w:marTop w:val="0"/>
      <w:marBottom w:val="0"/>
      <w:divBdr>
        <w:top w:val="none" w:sz="0" w:space="0" w:color="auto"/>
        <w:left w:val="none" w:sz="0" w:space="0" w:color="auto"/>
        <w:bottom w:val="none" w:sz="0" w:space="0" w:color="auto"/>
        <w:right w:val="none" w:sz="0" w:space="0" w:color="auto"/>
      </w:divBdr>
    </w:div>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 w:id="878009038">
          <w:marLeft w:val="0"/>
          <w:marRight w:val="0"/>
          <w:marTop w:val="0"/>
          <w:marBottom w:val="0"/>
          <w:divBdr>
            <w:top w:val="none" w:sz="0" w:space="0" w:color="auto"/>
            <w:left w:val="none" w:sz="0" w:space="0" w:color="auto"/>
            <w:bottom w:val="none" w:sz="0" w:space="0" w:color="auto"/>
            <w:right w:val="none" w:sz="0" w:space="0" w:color="auto"/>
          </w:divBdr>
        </w:div>
      </w:divsChild>
    </w:div>
    <w:div w:id="1826046662">
      <w:bodyDiv w:val="1"/>
      <w:marLeft w:val="0"/>
      <w:marRight w:val="0"/>
      <w:marTop w:val="0"/>
      <w:marBottom w:val="0"/>
      <w:divBdr>
        <w:top w:val="none" w:sz="0" w:space="0" w:color="auto"/>
        <w:left w:val="none" w:sz="0" w:space="0" w:color="auto"/>
        <w:bottom w:val="none" w:sz="0" w:space="0" w:color="auto"/>
        <w:right w:val="none" w:sz="0" w:space="0" w:color="auto"/>
      </w:divBdr>
    </w:div>
    <w:div w:id="1945846732">
      <w:bodyDiv w:val="1"/>
      <w:marLeft w:val="0"/>
      <w:marRight w:val="0"/>
      <w:marTop w:val="0"/>
      <w:marBottom w:val="0"/>
      <w:divBdr>
        <w:top w:val="none" w:sz="0" w:space="0" w:color="auto"/>
        <w:left w:val="none" w:sz="0" w:space="0" w:color="auto"/>
        <w:bottom w:val="none" w:sz="0" w:space="0" w:color="auto"/>
        <w:right w:val="none" w:sz="0" w:space="0" w:color="auto"/>
      </w:divBdr>
      <w:divsChild>
        <w:div w:id="1639606125">
          <w:marLeft w:val="0"/>
          <w:marRight w:val="0"/>
          <w:marTop w:val="0"/>
          <w:marBottom w:val="0"/>
          <w:divBdr>
            <w:top w:val="none" w:sz="0" w:space="0" w:color="auto"/>
            <w:left w:val="none" w:sz="0" w:space="0" w:color="auto"/>
            <w:bottom w:val="none" w:sz="0" w:space="0" w:color="auto"/>
            <w:right w:val="none" w:sz="0" w:space="0" w:color="auto"/>
          </w:divBdr>
          <w:divsChild>
            <w:div w:id="1048803015">
              <w:marLeft w:val="0"/>
              <w:marRight w:val="0"/>
              <w:marTop w:val="0"/>
              <w:marBottom w:val="0"/>
              <w:divBdr>
                <w:top w:val="none" w:sz="0" w:space="0" w:color="auto"/>
                <w:left w:val="none" w:sz="0" w:space="0" w:color="auto"/>
                <w:bottom w:val="none" w:sz="0" w:space="0" w:color="auto"/>
                <w:right w:val="none" w:sz="0" w:space="0" w:color="auto"/>
              </w:divBdr>
              <w:divsChild>
                <w:div w:id="902329090">
                  <w:marLeft w:val="0"/>
                  <w:marRight w:val="0"/>
                  <w:marTop w:val="0"/>
                  <w:marBottom w:val="0"/>
                  <w:divBdr>
                    <w:top w:val="none" w:sz="0" w:space="0" w:color="auto"/>
                    <w:left w:val="none" w:sz="0" w:space="0" w:color="auto"/>
                    <w:bottom w:val="none" w:sz="0" w:space="0" w:color="auto"/>
                    <w:right w:val="none" w:sz="0" w:space="0" w:color="auto"/>
                  </w:divBdr>
                  <w:divsChild>
                    <w:div w:id="1274899688">
                      <w:marLeft w:val="0"/>
                      <w:marRight w:val="0"/>
                      <w:marTop w:val="0"/>
                      <w:marBottom w:val="0"/>
                      <w:divBdr>
                        <w:top w:val="none" w:sz="0" w:space="0" w:color="auto"/>
                        <w:left w:val="none" w:sz="0" w:space="0" w:color="auto"/>
                        <w:bottom w:val="none" w:sz="0" w:space="0" w:color="auto"/>
                        <w:right w:val="none" w:sz="0" w:space="0" w:color="auto"/>
                      </w:divBdr>
                      <w:divsChild>
                        <w:div w:id="1291088375">
                          <w:marLeft w:val="0"/>
                          <w:marRight w:val="0"/>
                          <w:marTop w:val="0"/>
                          <w:marBottom w:val="0"/>
                          <w:divBdr>
                            <w:top w:val="none" w:sz="0" w:space="0" w:color="auto"/>
                            <w:left w:val="none" w:sz="0" w:space="0" w:color="auto"/>
                            <w:bottom w:val="none" w:sz="0" w:space="0" w:color="auto"/>
                            <w:right w:val="none" w:sz="0" w:space="0" w:color="auto"/>
                          </w:divBdr>
                          <w:divsChild>
                            <w:div w:id="646783674">
                              <w:marLeft w:val="0"/>
                              <w:marRight w:val="0"/>
                              <w:marTop w:val="0"/>
                              <w:marBottom w:val="0"/>
                              <w:divBdr>
                                <w:top w:val="none" w:sz="0" w:space="0" w:color="auto"/>
                                <w:left w:val="none" w:sz="0" w:space="0" w:color="auto"/>
                                <w:bottom w:val="none" w:sz="0" w:space="0" w:color="auto"/>
                                <w:right w:val="none" w:sz="0" w:space="0" w:color="auto"/>
                              </w:divBdr>
                              <w:divsChild>
                                <w:div w:id="924073325">
                                  <w:marLeft w:val="0"/>
                                  <w:marRight w:val="0"/>
                                  <w:marTop w:val="0"/>
                                  <w:marBottom w:val="0"/>
                                  <w:divBdr>
                                    <w:top w:val="none" w:sz="0" w:space="0" w:color="auto"/>
                                    <w:left w:val="none" w:sz="0" w:space="0" w:color="auto"/>
                                    <w:bottom w:val="none" w:sz="0" w:space="0" w:color="auto"/>
                                    <w:right w:val="none" w:sz="0" w:space="0" w:color="auto"/>
                                  </w:divBdr>
                                  <w:divsChild>
                                    <w:div w:id="1849952221">
                                      <w:marLeft w:val="0"/>
                                      <w:marRight w:val="0"/>
                                      <w:marTop w:val="0"/>
                                      <w:marBottom w:val="0"/>
                                      <w:divBdr>
                                        <w:top w:val="none" w:sz="0" w:space="0" w:color="auto"/>
                                        <w:left w:val="none" w:sz="0" w:space="0" w:color="auto"/>
                                        <w:bottom w:val="none" w:sz="0" w:space="0" w:color="auto"/>
                                        <w:right w:val="none" w:sz="0" w:space="0" w:color="auto"/>
                                      </w:divBdr>
                                      <w:divsChild>
                                        <w:div w:id="1528375859">
                                          <w:marLeft w:val="0"/>
                                          <w:marRight w:val="0"/>
                                          <w:marTop w:val="0"/>
                                          <w:marBottom w:val="0"/>
                                          <w:divBdr>
                                            <w:top w:val="none" w:sz="0" w:space="0" w:color="auto"/>
                                            <w:left w:val="none" w:sz="0" w:space="0" w:color="auto"/>
                                            <w:bottom w:val="none" w:sz="0" w:space="0" w:color="auto"/>
                                            <w:right w:val="none" w:sz="0" w:space="0" w:color="auto"/>
                                          </w:divBdr>
                                          <w:divsChild>
                                            <w:div w:id="97217446">
                                              <w:marLeft w:val="0"/>
                                              <w:marRight w:val="0"/>
                                              <w:marTop w:val="0"/>
                                              <w:marBottom w:val="0"/>
                                              <w:divBdr>
                                                <w:top w:val="none" w:sz="0" w:space="0" w:color="auto"/>
                                                <w:left w:val="none" w:sz="0" w:space="0" w:color="auto"/>
                                                <w:bottom w:val="none" w:sz="0" w:space="0" w:color="auto"/>
                                                <w:right w:val="none" w:sz="0" w:space="0" w:color="auto"/>
                                              </w:divBdr>
                                              <w:divsChild>
                                                <w:div w:id="651761762">
                                                  <w:marLeft w:val="0"/>
                                                  <w:marRight w:val="0"/>
                                                  <w:marTop w:val="0"/>
                                                  <w:marBottom w:val="0"/>
                                                  <w:divBdr>
                                                    <w:top w:val="none" w:sz="0" w:space="0" w:color="auto"/>
                                                    <w:left w:val="none" w:sz="0" w:space="0" w:color="auto"/>
                                                    <w:bottom w:val="none" w:sz="0" w:space="0" w:color="auto"/>
                                                    <w:right w:val="none" w:sz="0" w:space="0" w:color="auto"/>
                                                  </w:divBdr>
                                                  <w:divsChild>
                                                    <w:div w:id="1712531273">
                                                      <w:marLeft w:val="0"/>
                                                      <w:marRight w:val="0"/>
                                                      <w:marTop w:val="0"/>
                                                      <w:marBottom w:val="0"/>
                                                      <w:divBdr>
                                                        <w:top w:val="single" w:sz="6" w:space="0" w:color="ABABAB"/>
                                                        <w:left w:val="single" w:sz="6" w:space="0" w:color="ABABAB"/>
                                                        <w:bottom w:val="none" w:sz="0" w:space="0" w:color="auto"/>
                                                        <w:right w:val="single" w:sz="6" w:space="0" w:color="ABABAB"/>
                                                      </w:divBdr>
                                                      <w:divsChild>
                                                        <w:div w:id="651644069">
                                                          <w:marLeft w:val="0"/>
                                                          <w:marRight w:val="0"/>
                                                          <w:marTop w:val="0"/>
                                                          <w:marBottom w:val="0"/>
                                                          <w:divBdr>
                                                            <w:top w:val="none" w:sz="0" w:space="0" w:color="auto"/>
                                                            <w:left w:val="none" w:sz="0" w:space="0" w:color="auto"/>
                                                            <w:bottom w:val="none" w:sz="0" w:space="0" w:color="auto"/>
                                                            <w:right w:val="none" w:sz="0" w:space="0" w:color="auto"/>
                                                          </w:divBdr>
                                                          <w:divsChild>
                                                            <w:div w:id="1472746279">
                                                              <w:marLeft w:val="0"/>
                                                              <w:marRight w:val="0"/>
                                                              <w:marTop w:val="0"/>
                                                              <w:marBottom w:val="0"/>
                                                              <w:divBdr>
                                                                <w:top w:val="none" w:sz="0" w:space="0" w:color="auto"/>
                                                                <w:left w:val="none" w:sz="0" w:space="0" w:color="auto"/>
                                                                <w:bottom w:val="none" w:sz="0" w:space="0" w:color="auto"/>
                                                                <w:right w:val="none" w:sz="0" w:space="0" w:color="auto"/>
                                                              </w:divBdr>
                                                              <w:divsChild>
                                                                <w:div w:id="1928923662">
                                                                  <w:marLeft w:val="0"/>
                                                                  <w:marRight w:val="0"/>
                                                                  <w:marTop w:val="0"/>
                                                                  <w:marBottom w:val="0"/>
                                                                  <w:divBdr>
                                                                    <w:top w:val="none" w:sz="0" w:space="0" w:color="auto"/>
                                                                    <w:left w:val="none" w:sz="0" w:space="0" w:color="auto"/>
                                                                    <w:bottom w:val="none" w:sz="0" w:space="0" w:color="auto"/>
                                                                    <w:right w:val="none" w:sz="0" w:space="0" w:color="auto"/>
                                                                  </w:divBdr>
                                                                  <w:divsChild>
                                                                    <w:div w:id="521474936">
                                                                      <w:marLeft w:val="0"/>
                                                                      <w:marRight w:val="0"/>
                                                                      <w:marTop w:val="0"/>
                                                                      <w:marBottom w:val="0"/>
                                                                      <w:divBdr>
                                                                        <w:top w:val="none" w:sz="0" w:space="0" w:color="auto"/>
                                                                        <w:left w:val="none" w:sz="0" w:space="0" w:color="auto"/>
                                                                        <w:bottom w:val="none" w:sz="0" w:space="0" w:color="auto"/>
                                                                        <w:right w:val="none" w:sz="0" w:space="0" w:color="auto"/>
                                                                      </w:divBdr>
                                                                      <w:divsChild>
                                                                        <w:div w:id="1470902296">
                                                                          <w:marLeft w:val="0"/>
                                                                          <w:marRight w:val="0"/>
                                                                          <w:marTop w:val="0"/>
                                                                          <w:marBottom w:val="0"/>
                                                                          <w:divBdr>
                                                                            <w:top w:val="none" w:sz="0" w:space="0" w:color="auto"/>
                                                                            <w:left w:val="none" w:sz="0" w:space="0" w:color="auto"/>
                                                                            <w:bottom w:val="none" w:sz="0" w:space="0" w:color="auto"/>
                                                                            <w:right w:val="none" w:sz="0" w:space="0" w:color="auto"/>
                                                                          </w:divBdr>
                                                                          <w:divsChild>
                                                                            <w:div w:id="1450278222">
                                                                              <w:marLeft w:val="0"/>
                                                                              <w:marRight w:val="0"/>
                                                                              <w:marTop w:val="0"/>
                                                                              <w:marBottom w:val="0"/>
                                                                              <w:divBdr>
                                                                                <w:top w:val="none" w:sz="0" w:space="0" w:color="auto"/>
                                                                                <w:left w:val="none" w:sz="0" w:space="0" w:color="auto"/>
                                                                                <w:bottom w:val="none" w:sz="0" w:space="0" w:color="auto"/>
                                                                                <w:right w:val="none" w:sz="0" w:space="0" w:color="auto"/>
                                                                              </w:divBdr>
                                                                              <w:divsChild>
                                                                                <w:div w:id="1879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4F20692B1FF47A177F38FFF7E868F" ma:contentTypeVersion="10" ma:contentTypeDescription="Create a new document." ma:contentTypeScope="" ma:versionID="dc053e00deccc44d30f8ca478efcac2b">
  <xsd:schema xmlns:xsd="http://www.w3.org/2001/XMLSchema" xmlns:xs="http://www.w3.org/2001/XMLSchema" xmlns:p="http://schemas.microsoft.com/office/2006/metadata/properties" xmlns:ns3="f19a3dd9-52c8-4b9d-ad9d-adc12d8308ed" xmlns:ns4="a5f32de4-e402-4188-b034-e71ca7d22e54" xmlns:ns5="35bf4239-4209-4e67-afaf-b164ce30d93f" targetNamespace="http://schemas.microsoft.com/office/2006/metadata/properties" ma:root="true" ma:fieldsID="0cd98312614e270cde78e50fd5d147c1" ns3:_="" ns4:_="" ns5:_="">
    <xsd:import namespace="f19a3dd9-52c8-4b9d-ad9d-adc12d8308ed"/>
    <xsd:import namespace="a5f32de4-e402-4188-b034-e71ca7d22e54"/>
    <xsd:import namespace="35bf4239-4209-4e67-afaf-b164ce30d93f"/>
    <xsd:element name="properties">
      <xsd:complexType>
        <xsd:sequence>
          <xsd:element name="documentManagement">
            <xsd:complexType>
              <xsd:all>
                <xsd:element ref="ns3:MediaServiceFastMetadata" minOccurs="0"/>
                <xsd:element ref="ns3:MediaServiceMetadata" minOccurs="0"/>
                <xsd:element ref="ns4:_dlc_DocId" minOccurs="0"/>
                <xsd:element ref="ns4:_dlc_DocIdUrl" minOccurs="0"/>
                <xsd:element ref="ns4:_dlc_DocIdPersistId"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a3dd9-52c8-4b9d-ad9d-adc12d8308ed"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9" nillable="true" ma:displayName="MediaServiceMetadata" ma:description=""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f4239-4209-4e67-afaf-b164ce30d9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DOCID357-1224505051-632</_dlc_DocId>
    <_dlc_DocIdUrl xmlns="a5f32de4-e402-4188-b034-e71ca7d22e54">
      <Url>https://delwpvicgovau.sharepoint.com/sites/ecm_357/_layouts/15/DocIdRedir.aspx?ID=DOCID357-1224505051-632</Url>
      <Description>DOCID357-1224505051-632</Description>
    </_dlc_DocIdUrl>
  </documentManagement>
</p:propertie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2.xml><?xml version="1.0" encoding="utf-8"?>
<ds:datastoreItem xmlns:ds="http://schemas.openxmlformats.org/officeDocument/2006/customXml" ds:itemID="{47416F02-F993-486F-AA28-0E48D1D74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a3dd9-52c8-4b9d-ad9d-adc12d8308ed"/>
    <ds:schemaRef ds:uri="a5f32de4-e402-4188-b034-e71ca7d22e54"/>
    <ds:schemaRef ds:uri="35bf4239-4209-4e67-afaf-b164ce30d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F57A9-7367-4096-9BFF-1318EE41C8F3}">
  <ds:schemaRefs>
    <ds:schemaRef ds:uri="http://schemas.microsoft.com/sharepoint/events"/>
  </ds:schemaRefs>
</ds:datastoreItem>
</file>

<file path=customXml/itemProps4.xml><?xml version="1.0" encoding="utf-8"?>
<ds:datastoreItem xmlns:ds="http://schemas.openxmlformats.org/officeDocument/2006/customXml" ds:itemID="{15D9F1E1-7531-4625-9BB8-80BFB5A04AF5}">
  <ds:schemaRefs>
    <ds:schemaRef ds:uri="http://schemas.microsoft.com/office/2006/documentManagement/types"/>
    <ds:schemaRef ds:uri="http://schemas.openxmlformats.org/package/2006/metadata/core-properties"/>
    <ds:schemaRef ds:uri="http://purl.org/dc/elements/1.1/"/>
    <ds:schemaRef ds:uri="35bf4239-4209-4e67-afaf-b164ce30d93f"/>
    <ds:schemaRef ds:uri="f19a3dd9-52c8-4b9d-ad9d-adc12d8308ed"/>
    <ds:schemaRef ds:uri="a5f32de4-e402-4188-b034-e71ca7d22e54"/>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8AF3569-ACF5-4AB1-A456-DBD93BDE449B}">
  <ds:schemaRefs>
    <ds:schemaRef ds:uri="Microsoft.SharePoint.Taxonomy.ContentTypeSync"/>
  </ds:schemaRefs>
</ds:datastoreItem>
</file>

<file path=customXml/itemProps6.xml><?xml version="1.0" encoding="utf-8"?>
<ds:datastoreItem xmlns:ds="http://schemas.openxmlformats.org/officeDocument/2006/customXml" ds:itemID="{30613501-7EE7-4FAD-BF10-DCBE36EC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Determination - Donaghy's</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 ANZ Bank</dc:title>
  <dc:subject/>
  <dc:creator>Bethany K Sproal (DELWP)</dc:creator>
  <cp:keywords/>
  <dc:description/>
  <cp:lastModifiedBy>Charlotte March (DELWP)</cp:lastModifiedBy>
  <cp:revision>74</cp:revision>
  <cp:lastPrinted>2019-09-02T06:50:00Z</cp:lastPrinted>
  <dcterms:created xsi:type="dcterms:W3CDTF">2019-09-02T03:56:00Z</dcterms:created>
  <dcterms:modified xsi:type="dcterms:W3CDTF">2019-09-02T06:53:00Z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622944cd-1ff7-445e-be55-7708453ab9ef</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
  </property>
  <property fmtid="{D5CDD505-2E9C-101B-9397-08002B2CF9AE}" pid="12" name="Order">
    <vt:r8>63200</vt:r8>
  </property>
  <property fmtid="{D5CDD505-2E9C-101B-9397-08002B2CF9AE}" pid="13" name="ContentTypeId">
    <vt:lpwstr>0x0101002EE4F20692B1FF47A177F38FFF7E868F</vt:lpwstr>
  </property>
</Properties>
</file>