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147A8820"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Registrations and Reviews Committee</w:t>
      </w:r>
    </w:p>
    <w:p w14:paraId="0FB5A622" w14:textId="77777777" w:rsidR="00412709" w:rsidRDefault="00412709" w:rsidP="00412709">
      <w:pPr>
        <w:pStyle w:val="H2AFTER"/>
      </w:pPr>
    </w:p>
    <w:p w14:paraId="01887269" w14:textId="5F9BE2F1" w:rsidR="00412709" w:rsidRPr="00A164C4" w:rsidRDefault="003D1CAF" w:rsidP="00412709">
      <w:pPr>
        <w:pStyle w:val="H2AFTER"/>
      </w:pPr>
      <w:r>
        <w:t xml:space="preserve">Residence, </w:t>
      </w:r>
      <w:r w:rsidR="00392ACD">
        <w:t>11 Brunswick Street</w:t>
      </w:r>
      <w:r w:rsidR="009B5A00">
        <w:t xml:space="preserve">, </w:t>
      </w:r>
      <w:r w:rsidR="00392ACD">
        <w:t>Fitzroy</w:t>
      </w:r>
      <w:r w:rsidR="00447EB6">
        <w:t xml:space="preserve"> (H</w:t>
      </w:r>
      <w:r w:rsidR="006E66E0">
        <w:t>0149)</w:t>
      </w:r>
    </w:p>
    <w:p w14:paraId="6A99D1FA" w14:textId="75272600" w:rsidR="00412709" w:rsidRDefault="00412709" w:rsidP="00412709">
      <w:pPr>
        <w:pStyle w:val="H3AFTER"/>
        <w:rPr>
          <w:sz w:val="24"/>
        </w:rPr>
      </w:pPr>
    </w:p>
    <w:p w14:paraId="2271B004" w14:textId="121D6D53" w:rsidR="00412709" w:rsidRPr="009D3214" w:rsidRDefault="00412709" w:rsidP="00412709">
      <w:pPr>
        <w:pStyle w:val="H3AFTER"/>
        <w:rPr>
          <w:sz w:val="24"/>
        </w:rPr>
      </w:pPr>
      <w:r w:rsidRPr="00412709">
        <w:rPr>
          <w:b/>
          <w:sz w:val="24"/>
        </w:rPr>
        <w:t xml:space="preserve">Hearing </w:t>
      </w:r>
      <w:r>
        <w:rPr>
          <w:sz w:val="24"/>
        </w:rPr>
        <w:t xml:space="preserve">– </w:t>
      </w:r>
      <w:r w:rsidR="009B5A00">
        <w:rPr>
          <w:sz w:val="24"/>
        </w:rPr>
        <w:t>1</w:t>
      </w:r>
      <w:r>
        <w:rPr>
          <w:sz w:val="24"/>
        </w:rPr>
        <w:t xml:space="preserve"> </w:t>
      </w:r>
      <w:r w:rsidR="00C91E1A">
        <w:rPr>
          <w:sz w:val="24"/>
        </w:rPr>
        <w:t>May</w:t>
      </w:r>
      <w:r>
        <w:rPr>
          <w:sz w:val="24"/>
        </w:rPr>
        <w:t xml:space="preserve"> 201</w:t>
      </w:r>
      <w:r w:rsidR="00D425EA">
        <w:rPr>
          <w:sz w:val="24"/>
        </w:rPr>
        <w:t>9</w:t>
      </w:r>
      <w:r>
        <w:rPr>
          <w:sz w:val="24"/>
        </w:rPr>
        <w:t xml:space="preserve">                                                                            </w:t>
      </w:r>
      <w:r w:rsidRPr="00412709">
        <w:rPr>
          <w:b/>
          <w:sz w:val="24"/>
        </w:rPr>
        <w:t>Members</w:t>
      </w:r>
      <w:r w:rsidRPr="00412709">
        <w:rPr>
          <w:sz w:val="24"/>
        </w:rPr>
        <w:t xml:space="preserve"> – </w:t>
      </w:r>
      <w:proofErr w:type="spellStart"/>
      <w:r w:rsidRPr="00412709">
        <w:rPr>
          <w:sz w:val="24"/>
        </w:rPr>
        <w:t>M</w:t>
      </w:r>
      <w:r w:rsidR="00C91E1A">
        <w:rPr>
          <w:sz w:val="24"/>
        </w:rPr>
        <w:t>s</w:t>
      </w:r>
      <w:proofErr w:type="spellEnd"/>
      <w:r w:rsidR="00C91E1A">
        <w:rPr>
          <w:sz w:val="24"/>
        </w:rPr>
        <w:t xml:space="preserve"> Louise </w:t>
      </w:r>
      <w:proofErr w:type="spellStart"/>
      <w:r w:rsidR="00C91E1A">
        <w:rPr>
          <w:sz w:val="24"/>
        </w:rPr>
        <w:t>Honman</w:t>
      </w:r>
      <w:proofErr w:type="spellEnd"/>
      <w:r w:rsidRPr="00412709">
        <w:rPr>
          <w:sz w:val="24"/>
        </w:rPr>
        <w:t xml:space="preserve"> (Chair), </w:t>
      </w:r>
      <w:proofErr w:type="spellStart"/>
      <w:r w:rsidR="00CD3FB3">
        <w:rPr>
          <w:sz w:val="24"/>
        </w:rPr>
        <w:t>M</w:t>
      </w:r>
      <w:r w:rsidR="00C91E1A">
        <w:rPr>
          <w:sz w:val="24"/>
        </w:rPr>
        <w:t>r</w:t>
      </w:r>
      <w:proofErr w:type="spellEnd"/>
      <w:r w:rsidR="00CD3FB3" w:rsidRPr="00412709">
        <w:rPr>
          <w:sz w:val="24"/>
        </w:rPr>
        <w:t xml:space="preserve"> </w:t>
      </w:r>
      <w:r w:rsidR="00C91E1A">
        <w:rPr>
          <w:sz w:val="24"/>
        </w:rPr>
        <w:t>Patrick Doyle</w:t>
      </w:r>
      <w:r w:rsidR="00CD3FB3">
        <w:rPr>
          <w:sz w:val="24"/>
        </w:rPr>
        <w:t>,</w:t>
      </w:r>
      <w:r w:rsidR="00CD3FB3" w:rsidRPr="00412709">
        <w:rPr>
          <w:sz w:val="24"/>
        </w:rPr>
        <w:t xml:space="preserve"> </w:t>
      </w:r>
      <w:proofErr w:type="spellStart"/>
      <w:r w:rsidR="00E702FD" w:rsidRPr="00412709">
        <w:rPr>
          <w:sz w:val="24"/>
        </w:rPr>
        <w:t>M</w:t>
      </w:r>
      <w:r w:rsidR="00C91E1A">
        <w:rPr>
          <w:sz w:val="24"/>
        </w:rPr>
        <w:t>r</w:t>
      </w:r>
      <w:proofErr w:type="spellEnd"/>
      <w:r w:rsidR="00C91E1A">
        <w:rPr>
          <w:sz w:val="24"/>
        </w:rPr>
        <w:t xml:space="preserve"> Jeffrey Robinson</w:t>
      </w:r>
    </w:p>
    <w:p w14:paraId="2A1947A1" w14:textId="26C6E3FE" w:rsidR="00412709" w:rsidRDefault="00E342EC" w:rsidP="00412709">
      <w:pPr>
        <w:pStyle w:val="B1"/>
      </w:pPr>
      <w:r>
        <w:rPr>
          <w:noProof/>
          <w:lang w:val="en-AU" w:eastAsia="en-AU" w:bidi="ar-SA"/>
        </w:rPr>
        <mc:AlternateContent>
          <mc:Choice Requires="wpg">
            <w:drawing>
              <wp:anchor distT="0" distB="0" distL="114300" distR="114300" simplePos="0" relativeHeight="251657216"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3BB61" id="Group 4" o:spid="_x0000_s1026" style="position:absolute;margin-left:69.75pt;margin-top:6.1pt;width:454.95pt;height:5.95pt;z-index:-251659264;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5DC3E9BA" w:rsidR="00412709" w:rsidRPr="00E342EC" w:rsidRDefault="00412709" w:rsidP="00412709">
      <w:pPr>
        <w:pStyle w:val="H5"/>
        <w:rPr>
          <w:rStyle w:val="B1Bold"/>
          <w:b/>
          <w:sz w:val="22"/>
          <w:szCs w:val="22"/>
        </w:rPr>
      </w:pPr>
      <w:r w:rsidRPr="00E342EC">
        <w:rPr>
          <w:rStyle w:val="B1Bold"/>
          <w:b/>
          <w:sz w:val="22"/>
          <w:szCs w:val="22"/>
        </w:rPr>
        <w:t>DETERMINATION OF THE HERITAGE COUNCIL</w:t>
      </w:r>
    </w:p>
    <w:p w14:paraId="208F8B3D" w14:textId="425FC4E7" w:rsidR="00412709" w:rsidRPr="009C3930" w:rsidRDefault="00412709" w:rsidP="00412709">
      <w:pPr>
        <w:rPr>
          <w:sz w:val="22"/>
          <w:szCs w:val="22"/>
          <w:lang w:val="en-US" w:bidi="hi-IN"/>
        </w:rPr>
      </w:pPr>
    </w:p>
    <w:p w14:paraId="728A77C4" w14:textId="5169A78B" w:rsidR="00412709" w:rsidRPr="00477722" w:rsidRDefault="3AB8B1F8" w:rsidP="3AB8B1F8">
      <w:pPr>
        <w:rPr>
          <w:rFonts w:ascii="Arial" w:hAnsi="Arial" w:cs="Arial"/>
          <w:sz w:val="22"/>
          <w:szCs w:val="22"/>
          <w:lang w:val="en-US" w:bidi="hi-IN"/>
        </w:rPr>
      </w:pPr>
      <w:r w:rsidRPr="3AB8B1F8">
        <w:rPr>
          <w:rFonts w:ascii="Arial" w:hAnsi="Arial" w:cs="Arial"/>
          <w:sz w:val="22"/>
          <w:szCs w:val="22"/>
          <w:lang w:val="en-US" w:bidi="hi-IN"/>
        </w:rPr>
        <w:t>After considering all submissions received in relation to the permit review, and after conducting a hearing</w:t>
      </w:r>
      <w:r w:rsidR="005B25DA">
        <w:rPr>
          <w:rFonts w:ascii="Arial" w:hAnsi="Arial" w:cs="Arial"/>
          <w:sz w:val="22"/>
          <w:szCs w:val="22"/>
          <w:lang w:val="en-US" w:bidi="hi-IN"/>
        </w:rPr>
        <w:t xml:space="preserve">, </w:t>
      </w:r>
      <w:r w:rsidRPr="3AB8B1F8">
        <w:rPr>
          <w:rFonts w:ascii="Arial" w:hAnsi="Arial" w:cs="Arial"/>
          <w:sz w:val="22"/>
          <w:szCs w:val="22"/>
          <w:lang w:val="en-US" w:bidi="hi-IN"/>
        </w:rPr>
        <w:t>the Heri</w:t>
      </w:r>
      <w:bookmarkStart w:id="0" w:name="_GoBack"/>
      <w:bookmarkEnd w:id="0"/>
      <w:r w:rsidRPr="3AB8B1F8">
        <w:rPr>
          <w:rFonts w:ascii="Arial" w:hAnsi="Arial" w:cs="Arial"/>
          <w:sz w:val="22"/>
          <w:szCs w:val="22"/>
          <w:lang w:val="en-US" w:bidi="hi-IN"/>
        </w:rPr>
        <w:t xml:space="preserve">tage Council has determined </w:t>
      </w:r>
      <w:r w:rsidR="005B25DA">
        <w:rPr>
          <w:rFonts w:ascii="Arial" w:hAnsi="Arial" w:cs="Arial"/>
          <w:sz w:val="22"/>
          <w:szCs w:val="22"/>
          <w:lang w:val="en-US" w:bidi="hi-IN"/>
        </w:rPr>
        <w:t xml:space="preserve">pursuant to section 108(7)(c) </w:t>
      </w:r>
      <w:r w:rsidR="00053C49">
        <w:rPr>
          <w:rFonts w:ascii="Arial" w:hAnsi="Arial" w:cs="Arial"/>
          <w:sz w:val="22"/>
          <w:szCs w:val="22"/>
          <w:lang w:val="en-US" w:bidi="hi-IN"/>
        </w:rPr>
        <w:t xml:space="preserve">of the </w:t>
      </w:r>
      <w:r w:rsidR="00053C49" w:rsidRPr="00053C49">
        <w:rPr>
          <w:rFonts w:ascii="Arial" w:hAnsi="Arial" w:cs="Arial"/>
          <w:i/>
          <w:sz w:val="22"/>
          <w:szCs w:val="22"/>
          <w:lang w:val="en-US" w:bidi="hi-IN"/>
        </w:rPr>
        <w:t>Heritage Act 2017</w:t>
      </w:r>
      <w:r w:rsidR="00053C49">
        <w:rPr>
          <w:rFonts w:ascii="Arial" w:hAnsi="Arial" w:cs="Arial"/>
          <w:sz w:val="22"/>
          <w:szCs w:val="22"/>
          <w:lang w:val="en-US" w:bidi="hi-IN"/>
        </w:rPr>
        <w:t xml:space="preserve"> </w:t>
      </w:r>
      <w:r w:rsidRPr="3AB8B1F8">
        <w:rPr>
          <w:rFonts w:ascii="Arial" w:hAnsi="Arial" w:cs="Arial"/>
          <w:sz w:val="22"/>
          <w:szCs w:val="22"/>
          <w:lang w:val="en-US" w:bidi="hi-IN"/>
        </w:rPr>
        <w:t xml:space="preserve">to set aside the determination under review </w:t>
      </w:r>
      <w:bookmarkStart w:id="1" w:name="_Hlk12612903"/>
      <w:r w:rsidRPr="3AB8B1F8">
        <w:rPr>
          <w:rFonts w:ascii="Arial" w:hAnsi="Arial" w:cs="Arial"/>
          <w:sz w:val="22"/>
          <w:szCs w:val="22"/>
          <w:lang w:val="en-US" w:bidi="hi-IN"/>
        </w:rPr>
        <w:t xml:space="preserve">and make another determination in substitution for it, by issuing Permit </w:t>
      </w:r>
      <w:r w:rsidR="00EA4A64">
        <w:rPr>
          <w:rFonts w:ascii="Arial" w:hAnsi="Arial" w:cs="Arial"/>
          <w:sz w:val="22"/>
          <w:szCs w:val="22"/>
          <w:lang w:val="en-US" w:bidi="hi-IN"/>
        </w:rPr>
        <w:t xml:space="preserve">No. </w:t>
      </w:r>
      <w:r w:rsidRPr="3AB8B1F8">
        <w:rPr>
          <w:rFonts w:ascii="Arial" w:hAnsi="Arial" w:cs="Arial"/>
          <w:sz w:val="22"/>
          <w:szCs w:val="22"/>
          <w:lang w:val="en-US" w:bidi="hi-IN"/>
        </w:rPr>
        <w:t>P26809 with conditions.</w:t>
      </w:r>
    </w:p>
    <w:bookmarkEnd w:id="1"/>
    <w:p w14:paraId="7C654D06" w14:textId="312D0F97" w:rsidR="00412709" w:rsidRDefault="00412709" w:rsidP="00412709">
      <w:pPr>
        <w:rPr>
          <w:rFonts w:ascii="Arial" w:hAnsi="Arial" w:cs="Arial"/>
          <w:lang w:val="en-US" w:bidi="hi-IN"/>
        </w:rPr>
      </w:pPr>
    </w:p>
    <w:p w14:paraId="0ED11707" w14:textId="6F4744E2" w:rsidR="00E342EC" w:rsidRPr="00412709" w:rsidRDefault="00BC1998" w:rsidP="00E342EC">
      <w:pPr>
        <w:rPr>
          <w:rFonts w:ascii="Arial" w:hAnsi="Arial" w:cs="Arial"/>
          <w:b/>
          <w:sz w:val="22"/>
          <w:lang w:val="en-US" w:bidi="hi-IN"/>
        </w:rPr>
      </w:pPr>
      <w:r>
        <w:rPr>
          <w:rFonts w:ascii="Arial" w:hAnsi="Arial" w:cs="Arial"/>
          <w:b/>
          <w:sz w:val="22"/>
          <w:lang w:val="en-US" w:bidi="hi-IN"/>
        </w:rPr>
        <w:t>Louise Honman</w:t>
      </w:r>
      <w:r w:rsidR="00E342EC" w:rsidRPr="00412709">
        <w:rPr>
          <w:rFonts w:ascii="Arial" w:hAnsi="Arial" w:cs="Arial"/>
          <w:b/>
          <w:sz w:val="22"/>
          <w:lang w:val="en-US" w:bidi="hi-IN"/>
        </w:rPr>
        <w:t xml:space="preserve"> (Chair)</w:t>
      </w:r>
    </w:p>
    <w:p w14:paraId="247B6BED" w14:textId="7A89575B" w:rsidR="00E342EC" w:rsidRDefault="00BC1998" w:rsidP="00E342EC">
      <w:pPr>
        <w:rPr>
          <w:rFonts w:ascii="Arial" w:hAnsi="Arial" w:cs="Arial"/>
          <w:b/>
          <w:sz w:val="22"/>
          <w:lang w:val="en-US" w:bidi="hi-IN"/>
        </w:rPr>
      </w:pPr>
      <w:r>
        <w:rPr>
          <w:rFonts w:ascii="Arial" w:hAnsi="Arial" w:cs="Arial"/>
          <w:b/>
          <w:sz w:val="22"/>
          <w:lang w:val="en-US" w:bidi="hi-IN"/>
        </w:rPr>
        <w:t>Patrick Doyle</w:t>
      </w:r>
    </w:p>
    <w:p w14:paraId="1A1A3AED" w14:textId="3BC089D4" w:rsidR="00CD3FB3" w:rsidRPr="00CD3FB3" w:rsidRDefault="00BC1998" w:rsidP="00E342EC">
      <w:pPr>
        <w:rPr>
          <w:rFonts w:ascii="Arial" w:hAnsi="Arial" w:cs="Arial"/>
          <w:b/>
          <w:sz w:val="22"/>
          <w:lang w:val="en-US" w:bidi="hi-IN"/>
        </w:rPr>
      </w:pPr>
      <w:r>
        <w:rPr>
          <w:rFonts w:ascii="Arial" w:hAnsi="Arial" w:cs="Arial"/>
          <w:b/>
          <w:sz w:val="22"/>
          <w:lang w:val="en-US" w:bidi="hi-IN"/>
        </w:rPr>
        <w:t>Jeffrey Robinson</w:t>
      </w:r>
    </w:p>
    <w:p w14:paraId="2DE8396B" w14:textId="77777777" w:rsidR="00E342EC" w:rsidRPr="00607B57" w:rsidRDefault="00E342EC" w:rsidP="00E342EC">
      <w:pPr>
        <w:rPr>
          <w:b/>
        </w:rPr>
      </w:pPr>
    </w:p>
    <w:p w14:paraId="7B8FC3D9" w14:textId="09C78D39"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 xml:space="preserve">– </w:t>
      </w:r>
      <w:r w:rsidR="00F279D5" w:rsidRPr="00F279D5">
        <w:rPr>
          <w:rFonts w:ascii="Arial" w:hAnsi="Arial" w:cs="Arial"/>
          <w:sz w:val="22"/>
          <w:lang w:val="en-US" w:bidi="hi-IN"/>
        </w:rPr>
        <w:t>2</w:t>
      </w:r>
      <w:r w:rsidR="006E66E0">
        <w:rPr>
          <w:rFonts w:ascii="Arial" w:hAnsi="Arial" w:cs="Arial"/>
          <w:sz w:val="22"/>
          <w:lang w:val="en-US" w:bidi="hi-IN"/>
        </w:rPr>
        <w:t>8</w:t>
      </w:r>
      <w:r w:rsidR="00F279D5" w:rsidRPr="00F279D5">
        <w:rPr>
          <w:rFonts w:ascii="Arial" w:hAnsi="Arial" w:cs="Arial"/>
          <w:sz w:val="22"/>
          <w:lang w:val="en-US" w:bidi="hi-IN"/>
        </w:rPr>
        <w:t xml:space="preserve"> June</w:t>
      </w:r>
      <w:r w:rsidRPr="00E342EC">
        <w:rPr>
          <w:rFonts w:ascii="Arial" w:hAnsi="Arial" w:cs="Arial"/>
          <w:sz w:val="22"/>
          <w:lang w:val="en-US" w:bidi="hi-IN"/>
        </w:rPr>
        <w:t xml:space="preserve"> 2019</w:t>
      </w:r>
    </w:p>
    <w:p w14:paraId="5DA8B3FC" w14:textId="47E49221" w:rsidR="00E342EC" w:rsidRPr="00003EAD" w:rsidRDefault="00E342EC" w:rsidP="00412709">
      <w:pPr>
        <w:rPr>
          <w:rFonts w:ascii="Arial" w:hAnsi="Arial" w:cs="Arial"/>
          <w:lang w:val="en-US" w:bidi="hi-IN"/>
        </w:rPr>
      </w:pPr>
      <w:r>
        <w:rPr>
          <w:noProof/>
          <w:lang w:eastAsia="en-AU"/>
        </w:rPr>
        <mc:AlternateContent>
          <mc:Choice Requires="wpg">
            <w:drawing>
              <wp:anchor distT="0" distB="0" distL="114300" distR="114300" simplePos="0" relativeHeight="251656192"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2EA62" id="Group 10" o:spid="_x0000_s1026" style="position:absolute;margin-left:69.5pt;margin-top:12.8pt;width:454.95pt;height:5.95pt;z-index:-251660288;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2" w:name="_Hlk507577945"/>
    </w:p>
    <w:bookmarkEnd w:id="2"/>
    <w:p w14:paraId="4046834F" w14:textId="77777777" w:rsidR="00FA3356" w:rsidRPr="001E0EA9" w:rsidRDefault="00FA3356" w:rsidP="00FA3356">
      <w:pPr>
        <w:rPr>
          <w:b/>
          <w:bCs/>
          <w:caps/>
          <w:sz w:val="26"/>
          <w:szCs w:val="26"/>
        </w:rPr>
      </w:pPr>
      <w:r>
        <w:br w:type="page"/>
      </w:r>
    </w:p>
    <w:p w14:paraId="2C51708E" w14:textId="0D6BB239" w:rsidR="00FA3356" w:rsidRPr="009400F0" w:rsidRDefault="00DE575F" w:rsidP="00412709">
      <w:pPr>
        <w:pStyle w:val="H3AFTER"/>
        <w:rPr>
          <w:b/>
          <w:sz w:val="24"/>
          <w:lang w:eastAsia="en-AU"/>
        </w:rPr>
      </w:pPr>
      <w:r>
        <w:rPr>
          <w:b/>
          <w:sz w:val="24"/>
          <w:lang w:eastAsia="en-AU"/>
        </w:rPr>
        <w:lastRenderedPageBreak/>
        <w:t>APPEARANCES</w:t>
      </w:r>
      <w:r w:rsidR="00B647F9">
        <w:rPr>
          <w:b/>
          <w:sz w:val="24"/>
          <w:lang w:eastAsia="en-AU"/>
        </w:rPr>
        <w:t>/SUBMISSIONS</w:t>
      </w:r>
    </w:p>
    <w:p w14:paraId="4B57B913" w14:textId="4ADC9AB9" w:rsidR="00FA3356" w:rsidRPr="00C85E4B" w:rsidRDefault="00FA3356" w:rsidP="00C85E4B">
      <w:pPr>
        <w:pStyle w:val="H4"/>
        <w:spacing w:after="120"/>
        <w:rPr>
          <w:sz w:val="22"/>
        </w:rPr>
      </w:pPr>
      <w:r w:rsidRPr="00C85E4B">
        <w:rPr>
          <w:sz w:val="22"/>
        </w:rPr>
        <w:t>Executive Director, Heritage Victoria (‘the Executive Director</w:t>
      </w:r>
      <w:r w:rsidR="00E342EC">
        <w:rPr>
          <w:sz w:val="22"/>
        </w:rPr>
        <w:t>’</w:t>
      </w:r>
      <w:r w:rsidRPr="00C85E4B">
        <w:rPr>
          <w:sz w:val="22"/>
        </w:rPr>
        <w:t>)</w:t>
      </w:r>
    </w:p>
    <w:p w14:paraId="355405FE" w14:textId="2623356C" w:rsidR="00FA3356" w:rsidRPr="009400F0" w:rsidRDefault="00D86828" w:rsidP="009400F0">
      <w:pPr>
        <w:pStyle w:val="BP2"/>
        <w:tabs>
          <w:tab w:val="clear" w:pos="432"/>
        </w:tabs>
        <w:rPr>
          <w:sz w:val="22"/>
        </w:rPr>
      </w:pPr>
      <w:r>
        <w:rPr>
          <w:sz w:val="22"/>
        </w:rPr>
        <w:t>T</w:t>
      </w:r>
      <w:r w:rsidR="00775D25" w:rsidRPr="009400F0">
        <w:rPr>
          <w:sz w:val="22"/>
        </w:rPr>
        <w:t>he Executive Director</w:t>
      </w:r>
      <w:r>
        <w:rPr>
          <w:sz w:val="22"/>
        </w:rPr>
        <w:t xml:space="preserve"> was represented by </w:t>
      </w:r>
      <w:proofErr w:type="spellStart"/>
      <w:r>
        <w:rPr>
          <w:sz w:val="22"/>
        </w:rPr>
        <w:t>Mr</w:t>
      </w:r>
      <w:proofErr w:type="spellEnd"/>
      <w:r>
        <w:rPr>
          <w:sz w:val="22"/>
        </w:rPr>
        <w:t xml:space="preserve"> </w:t>
      </w:r>
      <w:r w:rsidR="00197895" w:rsidRPr="009400F0">
        <w:rPr>
          <w:sz w:val="22"/>
        </w:rPr>
        <w:t>Peter Brooks</w:t>
      </w:r>
      <w:r w:rsidR="00775D25" w:rsidRPr="009400F0">
        <w:rPr>
          <w:sz w:val="22"/>
        </w:rPr>
        <w:t xml:space="preserve">, </w:t>
      </w:r>
      <w:r w:rsidR="00197895" w:rsidRPr="009400F0">
        <w:rPr>
          <w:sz w:val="22"/>
        </w:rPr>
        <w:t>Senior</w:t>
      </w:r>
      <w:r w:rsidR="009B5A00" w:rsidRPr="009400F0">
        <w:rPr>
          <w:sz w:val="22"/>
        </w:rPr>
        <w:t xml:space="preserve"> Heritage </w:t>
      </w:r>
      <w:r w:rsidR="00197895" w:rsidRPr="009400F0">
        <w:rPr>
          <w:sz w:val="22"/>
        </w:rPr>
        <w:t>Officer</w:t>
      </w:r>
      <w:r w:rsidR="00775D25" w:rsidRPr="009400F0">
        <w:rPr>
          <w:sz w:val="22"/>
        </w:rPr>
        <w:t>.</w:t>
      </w:r>
      <w:r w:rsidR="00197895" w:rsidRPr="009400F0">
        <w:rPr>
          <w:sz w:val="22"/>
        </w:rPr>
        <w:t xml:space="preserve"> </w:t>
      </w:r>
      <w:proofErr w:type="spellStart"/>
      <w:r w:rsidR="00197895" w:rsidRPr="009400F0">
        <w:rPr>
          <w:sz w:val="22"/>
        </w:rPr>
        <w:t>Ms</w:t>
      </w:r>
      <w:proofErr w:type="spellEnd"/>
      <w:r w:rsidR="00197895" w:rsidRPr="009400F0">
        <w:rPr>
          <w:sz w:val="22"/>
        </w:rPr>
        <w:t xml:space="preserve"> Janet Sullivan, </w:t>
      </w:r>
      <w:r w:rsidR="00627BDE" w:rsidRPr="009400F0">
        <w:rPr>
          <w:sz w:val="22"/>
        </w:rPr>
        <w:t xml:space="preserve">Permit </w:t>
      </w:r>
      <w:r w:rsidR="00197895" w:rsidRPr="009400F0">
        <w:rPr>
          <w:sz w:val="22"/>
        </w:rPr>
        <w:t>Principal</w:t>
      </w:r>
      <w:r w:rsidR="00627BDE" w:rsidRPr="009400F0">
        <w:rPr>
          <w:sz w:val="22"/>
        </w:rPr>
        <w:t xml:space="preserve">, was also </w:t>
      </w:r>
      <w:r w:rsidR="00DE56F2" w:rsidRPr="009400F0">
        <w:rPr>
          <w:sz w:val="22"/>
        </w:rPr>
        <w:t>present and available to answer questions.</w:t>
      </w:r>
    </w:p>
    <w:p w14:paraId="3A273E3E" w14:textId="3CF0B718" w:rsidR="00CA0CE3" w:rsidRPr="00CA0CE3" w:rsidRDefault="00CA0CE3" w:rsidP="00CA0CE3">
      <w:pPr>
        <w:pStyle w:val="H4"/>
        <w:spacing w:after="120"/>
        <w:rPr>
          <w:sz w:val="22"/>
        </w:rPr>
      </w:pPr>
      <w:r w:rsidRPr="00CA0CE3">
        <w:rPr>
          <w:sz w:val="22"/>
        </w:rPr>
        <w:t>MS LOUISE ELLIOT</w:t>
      </w:r>
    </w:p>
    <w:p w14:paraId="221CA6EC" w14:textId="114ABAD2" w:rsidR="004E7984" w:rsidRPr="009400F0" w:rsidRDefault="004E7984" w:rsidP="009400F0">
      <w:pPr>
        <w:pStyle w:val="BP2"/>
        <w:tabs>
          <w:tab w:val="clear" w:pos="432"/>
        </w:tabs>
        <w:rPr>
          <w:sz w:val="22"/>
        </w:rPr>
      </w:pPr>
      <w:proofErr w:type="spellStart"/>
      <w:r w:rsidRPr="009400F0">
        <w:rPr>
          <w:sz w:val="22"/>
        </w:rPr>
        <w:t>Ms</w:t>
      </w:r>
      <w:proofErr w:type="spellEnd"/>
      <w:r w:rsidRPr="009400F0">
        <w:rPr>
          <w:sz w:val="22"/>
        </w:rPr>
        <w:t xml:space="preserve"> Elliot </w:t>
      </w:r>
      <w:r w:rsidR="00DB504A" w:rsidRPr="009400F0">
        <w:rPr>
          <w:sz w:val="22"/>
        </w:rPr>
        <w:t xml:space="preserve">made written and oral submissions </w:t>
      </w:r>
      <w:r w:rsidRPr="009400F0">
        <w:rPr>
          <w:sz w:val="22"/>
        </w:rPr>
        <w:t>in support of the Executive Director’s determination.</w:t>
      </w:r>
    </w:p>
    <w:p w14:paraId="682A54AB" w14:textId="0702B3E1" w:rsidR="003B1057" w:rsidRDefault="003B1057" w:rsidP="003B1057">
      <w:pPr>
        <w:pStyle w:val="H4"/>
        <w:spacing w:after="120"/>
        <w:rPr>
          <w:sz w:val="22"/>
        </w:rPr>
      </w:pPr>
      <w:r w:rsidRPr="003B1057">
        <w:rPr>
          <w:sz w:val="22"/>
        </w:rPr>
        <w:t>M</w:t>
      </w:r>
      <w:r w:rsidR="00EE3B6D">
        <w:rPr>
          <w:sz w:val="22"/>
        </w:rPr>
        <w:t>R</w:t>
      </w:r>
      <w:r w:rsidRPr="003B1057">
        <w:rPr>
          <w:sz w:val="22"/>
        </w:rPr>
        <w:t>S MARGARET O’BRIEN</w:t>
      </w:r>
    </w:p>
    <w:p w14:paraId="2D094F43" w14:textId="71D813FE" w:rsidR="003B1057" w:rsidRPr="009400F0" w:rsidRDefault="003B1057" w:rsidP="009400F0">
      <w:pPr>
        <w:pStyle w:val="BP2"/>
        <w:tabs>
          <w:tab w:val="clear" w:pos="432"/>
        </w:tabs>
        <w:rPr>
          <w:sz w:val="22"/>
        </w:rPr>
      </w:pPr>
      <w:proofErr w:type="spellStart"/>
      <w:r w:rsidRPr="009400F0">
        <w:rPr>
          <w:sz w:val="22"/>
        </w:rPr>
        <w:t>M</w:t>
      </w:r>
      <w:r w:rsidR="00EE3B6D" w:rsidRPr="009400F0">
        <w:rPr>
          <w:sz w:val="22"/>
        </w:rPr>
        <w:t>rs</w:t>
      </w:r>
      <w:proofErr w:type="spellEnd"/>
      <w:r w:rsidR="00EE3B6D" w:rsidRPr="009400F0">
        <w:rPr>
          <w:sz w:val="22"/>
        </w:rPr>
        <w:t xml:space="preserve"> O’Brien</w:t>
      </w:r>
      <w:r w:rsidRPr="009400F0">
        <w:rPr>
          <w:sz w:val="22"/>
        </w:rPr>
        <w:t xml:space="preserve"> </w:t>
      </w:r>
      <w:r w:rsidR="00DB2541" w:rsidRPr="009400F0">
        <w:rPr>
          <w:sz w:val="22"/>
        </w:rPr>
        <w:t xml:space="preserve">made written and oral submissions </w:t>
      </w:r>
      <w:r w:rsidRPr="009400F0">
        <w:rPr>
          <w:sz w:val="22"/>
        </w:rPr>
        <w:t>in support of the Executive Director’s determination.</w:t>
      </w:r>
    </w:p>
    <w:p w14:paraId="067BF1F8" w14:textId="436F2861" w:rsidR="00D1252B" w:rsidRPr="00D1252B" w:rsidRDefault="00DE56F2" w:rsidP="00D1252B">
      <w:pPr>
        <w:pStyle w:val="H4"/>
        <w:spacing w:after="120"/>
        <w:rPr>
          <w:sz w:val="22"/>
        </w:rPr>
      </w:pPr>
      <w:r>
        <w:rPr>
          <w:sz w:val="22"/>
        </w:rPr>
        <w:t>M</w:t>
      </w:r>
      <w:r w:rsidR="0075249F">
        <w:rPr>
          <w:sz w:val="22"/>
        </w:rPr>
        <w:t>S Beverly waldegrave-knight</w:t>
      </w:r>
      <w:r w:rsidR="00911684">
        <w:rPr>
          <w:sz w:val="22"/>
        </w:rPr>
        <w:t xml:space="preserve"> </w:t>
      </w:r>
      <w:r w:rsidR="00911684" w:rsidRPr="00D1252B">
        <w:rPr>
          <w:rFonts w:eastAsia="Times New Roman"/>
          <w:sz w:val="22"/>
          <w:szCs w:val="22"/>
          <w:lang w:eastAsia="en-AU"/>
        </w:rPr>
        <w:t>(‘</w:t>
      </w:r>
      <w:r w:rsidR="00B647F9">
        <w:rPr>
          <w:rFonts w:eastAsia="Times New Roman"/>
          <w:sz w:val="22"/>
          <w:szCs w:val="22"/>
          <w:lang w:eastAsia="en-AU"/>
        </w:rPr>
        <w:t xml:space="preserve">the </w:t>
      </w:r>
      <w:r w:rsidR="00D91A1F">
        <w:rPr>
          <w:rFonts w:eastAsia="Times New Roman"/>
          <w:sz w:val="22"/>
          <w:szCs w:val="22"/>
          <w:lang w:eastAsia="en-AU"/>
        </w:rPr>
        <w:t>PERMIT APPLICANT</w:t>
      </w:r>
      <w:r w:rsidR="00911684" w:rsidRPr="00D1252B">
        <w:rPr>
          <w:rFonts w:eastAsia="Times New Roman"/>
          <w:sz w:val="22"/>
          <w:szCs w:val="22"/>
          <w:lang w:eastAsia="en-AU"/>
        </w:rPr>
        <w:t>’)</w:t>
      </w:r>
    </w:p>
    <w:p w14:paraId="1901E3FD" w14:textId="08A00C55" w:rsidR="00D91A1F" w:rsidRPr="009400F0" w:rsidRDefault="00D1252B" w:rsidP="009400F0">
      <w:pPr>
        <w:pStyle w:val="BP2"/>
        <w:tabs>
          <w:tab w:val="clear" w:pos="432"/>
        </w:tabs>
        <w:rPr>
          <w:sz w:val="22"/>
        </w:rPr>
      </w:pPr>
      <w:r w:rsidRPr="009400F0">
        <w:rPr>
          <w:sz w:val="22"/>
        </w:rPr>
        <w:t xml:space="preserve">Submissions were received from </w:t>
      </w:r>
      <w:proofErr w:type="spellStart"/>
      <w:r w:rsidR="0097424D" w:rsidRPr="009400F0">
        <w:rPr>
          <w:sz w:val="22"/>
        </w:rPr>
        <w:t>Ms</w:t>
      </w:r>
      <w:proofErr w:type="spellEnd"/>
      <w:r w:rsidR="0097424D" w:rsidRPr="009400F0">
        <w:rPr>
          <w:sz w:val="22"/>
        </w:rPr>
        <w:t xml:space="preserve"> Beverly</w:t>
      </w:r>
      <w:r w:rsidR="00732570" w:rsidRPr="009400F0">
        <w:rPr>
          <w:sz w:val="22"/>
        </w:rPr>
        <w:t xml:space="preserve"> Waldegrave-Knight</w:t>
      </w:r>
      <w:r w:rsidR="00D91A1F" w:rsidRPr="009400F0">
        <w:rPr>
          <w:sz w:val="22"/>
        </w:rPr>
        <w:t xml:space="preserve">, the </w:t>
      </w:r>
      <w:r w:rsidR="00501D43" w:rsidRPr="009400F0">
        <w:rPr>
          <w:sz w:val="22"/>
        </w:rPr>
        <w:t>applicant for Permit No. P</w:t>
      </w:r>
      <w:r w:rsidR="00C93832" w:rsidRPr="009400F0">
        <w:rPr>
          <w:sz w:val="22"/>
        </w:rPr>
        <w:t>26809</w:t>
      </w:r>
      <w:r w:rsidR="00501D43" w:rsidRPr="009400F0">
        <w:rPr>
          <w:sz w:val="22"/>
        </w:rPr>
        <w:t xml:space="preserve"> and </w:t>
      </w:r>
      <w:r w:rsidR="00E025ED" w:rsidRPr="009400F0">
        <w:rPr>
          <w:sz w:val="22"/>
        </w:rPr>
        <w:t>requestor of the review</w:t>
      </w:r>
      <w:r w:rsidR="00501D43" w:rsidRPr="009400F0">
        <w:rPr>
          <w:sz w:val="22"/>
        </w:rPr>
        <w:t xml:space="preserve"> (‘the Permit Applicant’)</w:t>
      </w:r>
      <w:r w:rsidRPr="009400F0">
        <w:rPr>
          <w:sz w:val="22"/>
        </w:rPr>
        <w:t xml:space="preserve">. </w:t>
      </w:r>
      <w:proofErr w:type="spellStart"/>
      <w:r w:rsidRPr="009400F0">
        <w:rPr>
          <w:sz w:val="22"/>
        </w:rPr>
        <w:t>M</w:t>
      </w:r>
      <w:r w:rsidR="00C93832" w:rsidRPr="009400F0">
        <w:rPr>
          <w:sz w:val="22"/>
        </w:rPr>
        <w:t>s</w:t>
      </w:r>
      <w:proofErr w:type="spellEnd"/>
      <w:r w:rsidRPr="009400F0">
        <w:rPr>
          <w:sz w:val="22"/>
        </w:rPr>
        <w:t xml:space="preserve"> </w:t>
      </w:r>
      <w:r w:rsidR="00C93832" w:rsidRPr="009400F0">
        <w:rPr>
          <w:sz w:val="22"/>
        </w:rPr>
        <w:t>Emily Porter</w:t>
      </w:r>
      <w:r w:rsidR="00D91A1F" w:rsidRPr="009400F0">
        <w:rPr>
          <w:sz w:val="22"/>
        </w:rPr>
        <w:t>, Barrister, appeared on behalf of the</w:t>
      </w:r>
      <w:r w:rsidR="004F737C" w:rsidRPr="009400F0">
        <w:rPr>
          <w:sz w:val="22"/>
        </w:rPr>
        <w:t xml:space="preserve"> Permit Applicant</w:t>
      </w:r>
      <w:r w:rsidR="000B28EE" w:rsidRPr="009400F0">
        <w:rPr>
          <w:sz w:val="22"/>
        </w:rPr>
        <w:t>,</w:t>
      </w:r>
      <w:r w:rsidR="00D91A1F" w:rsidRPr="009400F0">
        <w:rPr>
          <w:sz w:val="22"/>
        </w:rPr>
        <w:t xml:space="preserve"> instructed by </w:t>
      </w:r>
      <w:proofErr w:type="spellStart"/>
      <w:r w:rsidR="00EA4A64">
        <w:rPr>
          <w:sz w:val="22"/>
        </w:rPr>
        <w:t>Mr</w:t>
      </w:r>
      <w:proofErr w:type="spellEnd"/>
      <w:r w:rsidR="00EA4A64">
        <w:rPr>
          <w:sz w:val="22"/>
        </w:rPr>
        <w:t xml:space="preserve"> Bradley Montag of </w:t>
      </w:r>
      <w:r w:rsidR="00D91A1F" w:rsidRPr="009400F0">
        <w:rPr>
          <w:sz w:val="22"/>
        </w:rPr>
        <w:t>Norton Rose Fulbright.</w:t>
      </w:r>
    </w:p>
    <w:p w14:paraId="40E19014" w14:textId="3D0C0268" w:rsidR="00C32B89" w:rsidRPr="009400F0" w:rsidRDefault="00D91A1F" w:rsidP="009400F0">
      <w:pPr>
        <w:pStyle w:val="BP2"/>
        <w:tabs>
          <w:tab w:val="clear" w:pos="432"/>
        </w:tabs>
        <w:rPr>
          <w:sz w:val="22"/>
        </w:rPr>
      </w:pPr>
      <w:r w:rsidRPr="009400F0">
        <w:rPr>
          <w:sz w:val="22"/>
        </w:rPr>
        <w:t xml:space="preserve">The </w:t>
      </w:r>
      <w:r w:rsidR="004F737C" w:rsidRPr="009400F0">
        <w:rPr>
          <w:sz w:val="22"/>
        </w:rPr>
        <w:t>Permit Applicant</w:t>
      </w:r>
      <w:r w:rsidRPr="009400F0">
        <w:rPr>
          <w:sz w:val="22"/>
        </w:rPr>
        <w:t xml:space="preserve">’s submissions </w:t>
      </w:r>
      <w:r w:rsidR="0060536B">
        <w:rPr>
          <w:sz w:val="22"/>
        </w:rPr>
        <w:t>were supported by</w:t>
      </w:r>
      <w:r w:rsidRPr="009400F0">
        <w:rPr>
          <w:sz w:val="22"/>
        </w:rPr>
        <w:t xml:space="preserve"> statements of evidence from </w:t>
      </w:r>
      <w:proofErr w:type="spellStart"/>
      <w:r w:rsidRPr="009400F0">
        <w:rPr>
          <w:sz w:val="22"/>
        </w:rPr>
        <w:t>Mr</w:t>
      </w:r>
      <w:proofErr w:type="spellEnd"/>
      <w:r w:rsidRPr="009400F0">
        <w:rPr>
          <w:sz w:val="22"/>
        </w:rPr>
        <w:t xml:space="preserve"> Bryce </w:t>
      </w:r>
      <w:proofErr w:type="spellStart"/>
      <w:r w:rsidRPr="009400F0">
        <w:rPr>
          <w:sz w:val="22"/>
        </w:rPr>
        <w:t>Raworth</w:t>
      </w:r>
      <w:proofErr w:type="spellEnd"/>
      <w:r w:rsidRPr="009400F0">
        <w:rPr>
          <w:sz w:val="22"/>
        </w:rPr>
        <w:t xml:space="preserve"> of Bryce </w:t>
      </w:r>
      <w:proofErr w:type="spellStart"/>
      <w:r w:rsidRPr="009400F0">
        <w:rPr>
          <w:sz w:val="22"/>
        </w:rPr>
        <w:t>Raworth</w:t>
      </w:r>
      <w:proofErr w:type="spellEnd"/>
      <w:r w:rsidRPr="009400F0">
        <w:rPr>
          <w:sz w:val="22"/>
        </w:rPr>
        <w:t xml:space="preserve"> Pty Ltd</w:t>
      </w:r>
      <w:r w:rsidR="004F737C" w:rsidRPr="009400F0">
        <w:rPr>
          <w:sz w:val="22"/>
        </w:rPr>
        <w:t xml:space="preserve"> and </w:t>
      </w:r>
      <w:proofErr w:type="spellStart"/>
      <w:r w:rsidR="004F737C" w:rsidRPr="009400F0">
        <w:rPr>
          <w:sz w:val="22"/>
        </w:rPr>
        <w:t>Ms</w:t>
      </w:r>
      <w:proofErr w:type="spellEnd"/>
      <w:r w:rsidR="004F737C" w:rsidRPr="009400F0">
        <w:rPr>
          <w:sz w:val="22"/>
        </w:rPr>
        <w:t xml:space="preserve"> Kate Gray of </w:t>
      </w:r>
      <w:r w:rsidR="000D701A" w:rsidRPr="009400F0">
        <w:rPr>
          <w:sz w:val="22"/>
        </w:rPr>
        <w:t>Lovell Chen Pty Ltd</w:t>
      </w:r>
      <w:r w:rsidR="00DF5E72" w:rsidRPr="009400F0">
        <w:rPr>
          <w:sz w:val="22"/>
        </w:rPr>
        <w:t xml:space="preserve">. </w:t>
      </w:r>
      <w:proofErr w:type="spellStart"/>
      <w:r w:rsidR="00C32B89" w:rsidRPr="009400F0">
        <w:rPr>
          <w:sz w:val="22"/>
        </w:rPr>
        <w:t>Mr</w:t>
      </w:r>
      <w:proofErr w:type="spellEnd"/>
      <w:r w:rsidR="00C32B89" w:rsidRPr="009400F0">
        <w:rPr>
          <w:sz w:val="22"/>
        </w:rPr>
        <w:t xml:space="preserve"> </w:t>
      </w:r>
      <w:proofErr w:type="spellStart"/>
      <w:r w:rsidR="00DF5E72" w:rsidRPr="009400F0">
        <w:rPr>
          <w:sz w:val="22"/>
        </w:rPr>
        <w:t>Raworth</w:t>
      </w:r>
      <w:proofErr w:type="spellEnd"/>
      <w:r w:rsidR="000D701A" w:rsidRPr="009400F0">
        <w:rPr>
          <w:sz w:val="22"/>
        </w:rPr>
        <w:t xml:space="preserve"> and </w:t>
      </w:r>
      <w:proofErr w:type="spellStart"/>
      <w:r w:rsidR="000D701A" w:rsidRPr="009400F0">
        <w:rPr>
          <w:sz w:val="22"/>
        </w:rPr>
        <w:t>Ms</w:t>
      </w:r>
      <w:proofErr w:type="spellEnd"/>
      <w:r w:rsidR="000D701A" w:rsidRPr="009400F0">
        <w:rPr>
          <w:sz w:val="22"/>
        </w:rPr>
        <w:t xml:space="preserve"> Gray </w:t>
      </w:r>
      <w:r w:rsidR="00C32B89" w:rsidRPr="009400F0">
        <w:rPr>
          <w:sz w:val="22"/>
        </w:rPr>
        <w:t>w</w:t>
      </w:r>
      <w:r w:rsidR="00DF5E72" w:rsidRPr="009400F0">
        <w:rPr>
          <w:sz w:val="22"/>
        </w:rPr>
        <w:t>ere</w:t>
      </w:r>
      <w:r w:rsidR="00C32B89" w:rsidRPr="009400F0">
        <w:rPr>
          <w:sz w:val="22"/>
        </w:rPr>
        <w:t xml:space="preserve"> called to give expert evidence.</w:t>
      </w:r>
    </w:p>
    <w:p w14:paraId="06CD6FB2" w14:textId="1242C50D" w:rsidR="00B40882" w:rsidRDefault="00B40882" w:rsidP="00C32B89">
      <w:pPr>
        <w:ind w:right="-69"/>
        <w:rPr>
          <w:rFonts w:ascii="Arial" w:hAnsi="Arial" w:cs="Arial"/>
          <w:sz w:val="22"/>
          <w:szCs w:val="22"/>
          <w:lang w:eastAsia="en-AU"/>
        </w:rPr>
      </w:pPr>
    </w:p>
    <w:p w14:paraId="34361444" w14:textId="2FCF5BC5" w:rsidR="00F8582C" w:rsidRPr="00F8582C" w:rsidRDefault="00EB6A6B" w:rsidP="00F8582C">
      <w:pPr>
        <w:ind w:right="-51"/>
        <w:rPr>
          <w:rFonts w:ascii="Arial" w:eastAsiaTheme="majorEastAsia" w:hAnsi="Arial" w:cs="Arial"/>
          <w:b/>
          <w:color w:val="323E48"/>
          <w:szCs w:val="32"/>
          <w:lang w:val="en-US" w:eastAsia="en-AU"/>
        </w:rPr>
      </w:pPr>
      <w:r>
        <w:rPr>
          <w:rFonts w:ascii="Arial" w:eastAsiaTheme="majorEastAsia" w:hAnsi="Arial" w:cs="Arial"/>
          <w:b/>
          <w:color w:val="323E48"/>
          <w:szCs w:val="32"/>
          <w:lang w:val="en-US" w:eastAsia="en-AU"/>
        </w:rPr>
        <w:t xml:space="preserve">WRITTEN </w:t>
      </w:r>
      <w:r w:rsidR="00F8582C" w:rsidRPr="00F8582C">
        <w:rPr>
          <w:rFonts w:ascii="Arial" w:eastAsiaTheme="majorEastAsia" w:hAnsi="Arial" w:cs="Arial"/>
          <w:b/>
          <w:color w:val="323E48"/>
          <w:szCs w:val="32"/>
          <w:lang w:val="en-US" w:eastAsia="en-AU"/>
        </w:rPr>
        <w:t>SUBMISSIONS</w:t>
      </w:r>
    </w:p>
    <w:p w14:paraId="19B43D16" w14:textId="77777777" w:rsidR="00F8582C" w:rsidRDefault="00F8582C" w:rsidP="00F8582C">
      <w:pPr>
        <w:ind w:right="-51"/>
      </w:pPr>
    </w:p>
    <w:p w14:paraId="4B792747" w14:textId="44AB81E3" w:rsidR="00945EA0" w:rsidRPr="009400F0" w:rsidRDefault="00945EA0" w:rsidP="009400F0">
      <w:pPr>
        <w:pStyle w:val="BP2"/>
        <w:tabs>
          <w:tab w:val="clear" w:pos="432"/>
        </w:tabs>
        <w:rPr>
          <w:sz w:val="22"/>
        </w:rPr>
      </w:pPr>
      <w:r w:rsidRPr="009400F0">
        <w:rPr>
          <w:sz w:val="22"/>
        </w:rPr>
        <w:t>Written submissions in support of the Executive Director’s determination were also received from the following:</w:t>
      </w:r>
    </w:p>
    <w:p w14:paraId="2FC45242" w14:textId="04D9C145" w:rsidR="0013679E" w:rsidRPr="009400F0" w:rsidRDefault="0013679E" w:rsidP="0060536B">
      <w:pPr>
        <w:pStyle w:val="BP2"/>
        <w:numPr>
          <w:ilvl w:val="0"/>
          <w:numId w:val="49"/>
        </w:numPr>
        <w:tabs>
          <w:tab w:val="clear" w:pos="432"/>
        </w:tabs>
        <w:rPr>
          <w:sz w:val="22"/>
        </w:rPr>
      </w:pPr>
      <w:proofErr w:type="spellStart"/>
      <w:r w:rsidRPr="009400F0">
        <w:rPr>
          <w:sz w:val="22"/>
        </w:rPr>
        <w:t>Mr</w:t>
      </w:r>
      <w:proofErr w:type="spellEnd"/>
      <w:r w:rsidRPr="009400F0">
        <w:rPr>
          <w:sz w:val="22"/>
        </w:rPr>
        <w:t xml:space="preserve"> </w:t>
      </w:r>
      <w:r w:rsidR="007538A8" w:rsidRPr="009400F0">
        <w:rPr>
          <w:sz w:val="22"/>
        </w:rPr>
        <w:t>Michael Glynatsis</w:t>
      </w:r>
    </w:p>
    <w:p w14:paraId="0E7358A6" w14:textId="5B24D9CC" w:rsidR="00E538A2" w:rsidRPr="009400F0" w:rsidRDefault="00E538A2" w:rsidP="0060536B">
      <w:pPr>
        <w:pStyle w:val="BP2"/>
        <w:numPr>
          <w:ilvl w:val="0"/>
          <w:numId w:val="49"/>
        </w:numPr>
        <w:tabs>
          <w:tab w:val="clear" w:pos="432"/>
        </w:tabs>
        <w:rPr>
          <w:sz w:val="22"/>
        </w:rPr>
      </w:pPr>
      <w:proofErr w:type="spellStart"/>
      <w:r w:rsidRPr="009400F0">
        <w:rPr>
          <w:sz w:val="22"/>
        </w:rPr>
        <w:t>Ms</w:t>
      </w:r>
      <w:proofErr w:type="spellEnd"/>
      <w:r w:rsidRPr="009400F0">
        <w:rPr>
          <w:sz w:val="22"/>
        </w:rPr>
        <w:t xml:space="preserve"> Jenny Morrison on behalf of the </w:t>
      </w:r>
      <w:r w:rsidR="0013679E" w:rsidRPr="009400F0">
        <w:rPr>
          <w:sz w:val="22"/>
        </w:rPr>
        <w:t>South Fitzroy Protection Group Inc.</w:t>
      </w:r>
    </w:p>
    <w:p w14:paraId="3F5F1B68" w14:textId="66F86953" w:rsidR="00945EA0" w:rsidRPr="009400F0" w:rsidRDefault="00D774A8" w:rsidP="0060536B">
      <w:pPr>
        <w:pStyle w:val="BP2"/>
        <w:numPr>
          <w:ilvl w:val="0"/>
          <w:numId w:val="49"/>
        </w:numPr>
        <w:tabs>
          <w:tab w:val="clear" w:pos="432"/>
        </w:tabs>
        <w:rPr>
          <w:sz w:val="22"/>
        </w:rPr>
      </w:pPr>
      <w:proofErr w:type="spellStart"/>
      <w:r w:rsidRPr="009400F0">
        <w:rPr>
          <w:sz w:val="22"/>
        </w:rPr>
        <w:t>Ms</w:t>
      </w:r>
      <w:proofErr w:type="spellEnd"/>
      <w:r w:rsidRPr="009400F0">
        <w:rPr>
          <w:sz w:val="22"/>
        </w:rPr>
        <w:t xml:space="preserve"> Margaret </w:t>
      </w:r>
      <w:proofErr w:type="spellStart"/>
      <w:r w:rsidRPr="009400F0">
        <w:rPr>
          <w:sz w:val="22"/>
        </w:rPr>
        <w:t>Portelli</w:t>
      </w:r>
      <w:proofErr w:type="spellEnd"/>
    </w:p>
    <w:p w14:paraId="62ED937B" w14:textId="351CAA10" w:rsidR="005930EE" w:rsidRPr="009400F0" w:rsidRDefault="005930EE" w:rsidP="0060536B">
      <w:pPr>
        <w:pStyle w:val="BP2"/>
        <w:numPr>
          <w:ilvl w:val="0"/>
          <w:numId w:val="49"/>
        </w:numPr>
        <w:tabs>
          <w:tab w:val="clear" w:pos="432"/>
        </w:tabs>
        <w:rPr>
          <w:sz w:val="22"/>
        </w:rPr>
      </w:pPr>
      <w:proofErr w:type="spellStart"/>
      <w:r w:rsidRPr="009400F0">
        <w:rPr>
          <w:sz w:val="22"/>
        </w:rPr>
        <w:t>Yarra</w:t>
      </w:r>
      <w:proofErr w:type="spellEnd"/>
      <w:r w:rsidRPr="009400F0">
        <w:rPr>
          <w:sz w:val="22"/>
        </w:rPr>
        <w:t xml:space="preserve"> City Council</w:t>
      </w:r>
      <w:r w:rsidR="006D0E0B">
        <w:rPr>
          <w:sz w:val="22"/>
        </w:rPr>
        <w:t xml:space="preserve"> (‘</w:t>
      </w:r>
      <w:proofErr w:type="spellStart"/>
      <w:r w:rsidR="006D0E0B">
        <w:rPr>
          <w:sz w:val="22"/>
        </w:rPr>
        <w:t>Yarra</w:t>
      </w:r>
      <w:proofErr w:type="spellEnd"/>
      <w:r w:rsidR="006D0E0B">
        <w:rPr>
          <w:sz w:val="22"/>
        </w:rPr>
        <w:t>’)</w:t>
      </w:r>
      <w:r w:rsidR="0060536B">
        <w:rPr>
          <w:sz w:val="22"/>
        </w:rPr>
        <w:t>.</w:t>
      </w:r>
    </w:p>
    <w:p w14:paraId="268E3ED8" w14:textId="5A6BD323" w:rsidR="00B40882" w:rsidRPr="0060536B" w:rsidRDefault="0060536B" w:rsidP="0060536B">
      <w:pPr>
        <w:spacing w:after="120"/>
        <w:ind w:right="-68"/>
        <w:rPr>
          <w:rFonts w:ascii="Arial" w:eastAsiaTheme="minorEastAsia" w:hAnsi="Arial" w:cs="Arial"/>
          <w:color w:val="323E48"/>
          <w:sz w:val="22"/>
          <w:szCs w:val="18"/>
          <w:lang w:val="en-US" w:bidi="hi-IN"/>
        </w:rPr>
      </w:pPr>
      <w:r w:rsidRPr="0060536B">
        <w:rPr>
          <w:rFonts w:ascii="Arial" w:eastAsiaTheme="minorEastAsia" w:hAnsi="Arial" w:cs="Arial"/>
          <w:color w:val="323E48"/>
          <w:sz w:val="22"/>
          <w:szCs w:val="18"/>
          <w:lang w:val="en-US" w:bidi="hi-IN"/>
        </w:rPr>
        <w:t xml:space="preserve">These submitters </w:t>
      </w:r>
      <w:r>
        <w:rPr>
          <w:rFonts w:ascii="Arial" w:eastAsiaTheme="minorEastAsia" w:hAnsi="Arial" w:cs="Arial"/>
          <w:color w:val="323E48"/>
          <w:sz w:val="22"/>
          <w:szCs w:val="18"/>
          <w:lang w:val="en-US" w:bidi="hi-IN"/>
        </w:rPr>
        <w:t>did not appear at the hearing.</w:t>
      </w:r>
    </w:p>
    <w:p w14:paraId="4D9BDB57" w14:textId="133485D5" w:rsidR="00412709" w:rsidRPr="00E824E7" w:rsidRDefault="00FA3356" w:rsidP="00267AE6">
      <w:pPr>
        <w:pStyle w:val="H3AFTER"/>
        <w:rPr>
          <w:b/>
          <w:lang w:eastAsia="en-AU"/>
        </w:rPr>
      </w:pPr>
      <w:r w:rsidRPr="001A0A28">
        <w:rPr>
          <w:sz w:val="23"/>
          <w:szCs w:val="23"/>
          <w:highlight w:val="lightGray"/>
          <w:lang w:eastAsia="en-AU"/>
        </w:rPr>
        <w:br w:type="page"/>
      </w:r>
      <w:bookmarkStart w:id="3" w:name="_Hlk6301577"/>
      <w:r w:rsidR="00412709" w:rsidRPr="00E824E7">
        <w:rPr>
          <w:b/>
          <w:sz w:val="24"/>
          <w:lang w:eastAsia="en-AU"/>
        </w:rPr>
        <w:lastRenderedPageBreak/>
        <w:t>INTRODUCTION</w:t>
      </w:r>
      <w:r w:rsidR="00412709">
        <w:rPr>
          <w:b/>
          <w:sz w:val="24"/>
          <w:lang w:eastAsia="en-AU"/>
        </w:rPr>
        <w:t>/BACKGROUND</w:t>
      </w:r>
    </w:p>
    <w:bookmarkEnd w:id="3"/>
    <w:p w14:paraId="7CD6EFBB" w14:textId="68943169" w:rsidR="000D613A" w:rsidRPr="008826DA" w:rsidRDefault="000D613A" w:rsidP="004402D0">
      <w:pPr>
        <w:pStyle w:val="H4"/>
        <w:spacing w:after="120"/>
        <w:rPr>
          <w:sz w:val="22"/>
        </w:rPr>
      </w:pPr>
      <w:r w:rsidRPr="00E05B1D">
        <w:rPr>
          <w:sz w:val="22"/>
        </w:rPr>
        <w:t>T</w:t>
      </w:r>
      <w:r>
        <w:rPr>
          <w:sz w:val="22"/>
        </w:rPr>
        <w:t xml:space="preserve">he </w:t>
      </w:r>
      <w:r w:rsidR="004402D0">
        <w:rPr>
          <w:sz w:val="22"/>
        </w:rPr>
        <w:t>review</w:t>
      </w:r>
    </w:p>
    <w:p w14:paraId="4EDD297C" w14:textId="6866BBBA" w:rsidR="000D613A" w:rsidRDefault="004402D0" w:rsidP="001D44FC">
      <w:pPr>
        <w:pStyle w:val="BP2"/>
        <w:numPr>
          <w:ilvl w:val="0"/>
          <w:numId w:val="3"/>
        </w:numPr>
        <w:tabs>
          <w:tab w:val="clear" w:pos="432"/>
        </w:tabs>
        <w:ind w:left="567" w:hanging="567"/>
        <w:rPr>
          <w:sz w:val="22"/>
        </w:rPr>
      </w:pPr>
      <w:r>
        <w:rPr>
          <w:sz w:val="22"/>
        </w:rPr>
        <w:t xml:space="preserve">This proceeding is a review of a determination by the Executive Director to </w:t>
      </w:r>
      <w:r w:rsidR="00352F15">
        <w:rPr>
          <w:sz w:val="22"/>
        </w:rPr>
        <w:t xml:space="preserve">refuse </w:t>
      </w:r>
      <w:r w:rsidR="007B1ECE">
        <w:rPr>
          <w:sz w:val="22"/>
        </w:rPr>
        <w:t xml:space="preserve">Permit Application No. </w:t>
      </w:r>
      <w:r w:rsidR="00D36968">
        <w:rPr>
          <w:sz w:val="22"/>
          <w:szCs w:val="22"/>
          <w:lang w:eastAsia="en-AU"/>
        </w:rPr>
        <w:t>P26809</w:t>
      </w:r>
      <w:r w:rsidR="006D19F9">
        <w:rPr>
          <w:sz w:val="22"/>
          <w:szCs w:val="22"/>
          <w:lang w:eastAsia="en-AU"/>
        </w:rPr>
        <w:t xml:space="preserve"> in respect of </w:t>
      </w:r>
      <w:r w:rsidR="00131EFC">
        <w:rPr>
          <w:sz w:val="22"/>
          <w:szCs w:val="22"/>
          <w:lang w:eastAsia="en-AU"/>
        </w:rPr>
        <w:t xml:space="preserve">the residence </w:t>
      </w:r>
      <w:r w:rsidR="003F2B18">
        <w:rPr>
          <w:sz w:val="22"/>
          <w:szCs w:val="22"/>
          <w:lang w:eastAsia="en-AU"/>
        </w:rPr>
        <w:t xml:space="preserve">at </w:t>
      </w:r>
      <w:r w:rsidR="00E04E60">
        <w:rPr>
          <w:sz w:val="22"/>
          <w:szCs w:val="22"/>
          <w:lang w:eastAsia="en-AU"/>
        </w:rPr>
        <w:t>11 Brunswick Street, Fitzroy</w:t>
      </w:r>
      <w:r w:rsidR="00B52036">
        <w:rPr>
          <w:sz w:val="22"/>
          <w:szCs w:val="22"/>
          <w:lang w:eastAsia="en-AU"/>
        </w:rPr>
        <w:t xml:space="preserve"> (</w:t>
      </w:r>
      <w:r w:rsidR="00D26406">
        <w:rPr>
          <w:sz w:val="22"/>
          <w:szCs w:val="22"/>
          <w:lang w:eastAsia="en-AU"/>
        </w:rPr>
        <w:t>‘the Review’).</w:t>
      </w:r>
    </w:p>
    <w:p w14:paraId="56ED88CB" w14:textId="03472B32" w:rsidR="000D613A" w:rsidRDefault="000D613A" w:rsidP="009C245E">
      <w:pPr>
        <w:pStyle w:val="H4"/>
        <w:spacing w:after="120"/>
        <w:rPr>
          <w:sz w:val="22"/>
        </w:rPr>
      </w:pPr>
      <w:r w:rsidRPr="00E05B1D">
        <w:rPr>
          <w:sz w:val="22"/>
        </w:rPr>
        <w:t>T</w:t>
      </w:r>
      <w:r>
        <w:rPr>
          <w:sz w:val="22"/>
        </w:rPr>
        <w:t>he place</w:t>
      </w:r>
    </w:p>
    <w:p w14:paraId="5D735B5E" w14:textId="5E645649" w:rsidR="00761232" w:rsidRDefault="000D613A" w:rsidP="001D44FC">
      <w:pPr>
        <w:pStyle w:val="BP2"/>
        <w:numPr>
          <w:ilvl w:val="0"/>
          <w:numId w:val="3"/>
        </w:numPr>
        <w:tabs>
          <w:tab w:val="clear" w:pos="432"/>
        </w:tabs>
        <w:ind w:left="567" w:hanging="567"/>
        <w:rPr>
          <w:sz w:val="22"/>
        </w:rPr>
      </w:pPr>
      <w:r>
        <w:rPr>
          <w:sz w:val="22"/>
        </w:rPr>
        <w:t>11 Brunswick Street</w:t>
      </w:r>
      <w:r w:rsidR="009C245E">
        <w:rPr>
          <w:sz w:val="22"/>
        </w:rPr>
        <w:t xml:space="preserve">, Fitzroy </w:t>
      </w:r>
      <w:r w:rsidR="00761232">
        <w:rPr>
          <w:sz w:val="22"/>
        </w:rPr>
        <w:t xml:space="preserve">is </w:t>
      </w:r>
      <w:r w:rsidR="000C4079">
        <w:rPr>
          <w:sz w:val="22"/>
        </w:rPr>
        <w:t xml:space="preserve">a rectangular-shaped allotment </w:t>
      </w:r>
      <w:r w:rsidR="005A4C1B">
        <w:rPr>
          <w:sz w:val="22"/>
        </w:rPr>
        <w:t xml:space="preserve">located on the </w:t>
      </w:r>
      <w:r w:rsidR="00A32733">
        <w:rPr>
          <w:sz w:val="22"/>
        </w:rPr>
        <w:t>west</w:t>
      </w:r>
      <w:r w:rsidR="00902236">
        <w:rPr>
          <w:sz w:val="22"/>
        </w:rPr>
        <w:t>ern</w:t>
      </w:r>
      <w:r w:rsidR="005A4C1B">
        <w:rPr>
          <w:sz w:val="22"/>
        </w:rPr>
        <w:t xml:space="preserve"> side of Brunswick Street</w:t>
      </w:r>
      <w:r w:rsidR="00A32733">
        <w:rPr>
          <w:sz w:val="22"/>
        </w:rPr>
        <w:t xml:space="preserve">, </w:t>
      </w:r>
      <w:r w:rsidR="00902236">
        <w:rPr>
          <w:sz w:val="22"/>
        </w:rPr>
        <w:t>between Victoria Parade to the south and Gertrude Street to the north</w:t>
      </w:r>
      <w:r w:rsidR="00AD6725">
        <w:rPr>
          <w:sz w:val="22"/>
        </w:rPr>
        <w:t xml:space="preserve"> (‘the Subject Site’)</w:t>
      </w:r>
      <w:r w:rsidR="00902236">
        <w:rPr>
          <w:sz w:val="22"/>
        </w:rPr>
        <w:t>.</w:t>
      </w:r>
      <w:r w:rsidR="00234F73">
        <w:rPr>
          <w:sz w:val="22"/>
        </w:rPr>
        <w:t xml:space="preserve"> Its western boundary</w:t>
      </w:r>
      <w:r w:rsidR="0028001F">
        <w:rPr>
          <w:sz w:val="22"/>
        </w:rPr>
        <w:t xml:space="preserve"> abuts a rear lane which connects with Fitzroy Street to the west.</w:t>
      </w:r>
    </w:p>
    <w:p w14:paraId="14092E55" w14:textId="328C4DE3" w:rsidR="009400F0" w:rsidRDefault="00B23AF1" w:rsidP="001D44FC">
      <w:pPr>
        <w:pStyle w:val="BP2"/>
        <w:numPr>
          <w:ilvl w:val="0"/>
          <w:numId w:val="3"/>
        </w:numPr>
        <w:tabs>
          <w:tab w:val="clear" w:pos="432"/>
        </w:tabs>
        <w:ind w:left="567" w:hanging="567"/>
        <w:rPr>
          <w:sz w:val="22"/>
        </w:rPr>
      </w:pPr>
      <w:r>
        <w:rPr>
          <w:sz w:val="22"/>
        </w:rPr>
        <w:t>The b</w:t>
      </w:r>
      <w:r w:rsidR="006944A1">
        <w:rPr>
          <w:sz w:val="22"/>
        </w:rPr>
        <w:t>uilt form on the Subject Site</w:t>
      </w:r>
      <w:r w:rsidR="00915F6B">
        <w:rPr>
          <w:sz w:val="22"/>
        </w:rPr>
        <w:t xml:space="preserve"> </w:t>
      </w:r>
      <w:r w:rsidR="006944A1">
        <w:rPr>
          <w:sz w:val="22"/>
        </w:rPr>
        <w:t>consists of</w:t>
      </w:r>
      <w:r w:rsidR="00915F6B">
        <w:rPr>
          <w:sz w:val="22"/>
        </w:rPr>
        <w:t xml:space="preserve"> </w:t>
      </w:r>
      <w:r w:rsidR="009400F0">
        <w:rPr>
          <w:sz w:val="22"/>
        </w:rPr>
        <w:t>three main components:</w:t>
      </w:r>
    </w:p>
    <w:p w14:paraId="4A852818" w14:textId="69E6A715" w:rsidR="00131EFC" w:rsidRDefault="0007126B" w:rsidP="009400F0">
      <w:pPr>
        <w:pStyle w:val="BP2"/>
        <w:numPr>
          <w:ilvl w:val="0"/>
          <w:numId w:val="17"/>
        </w:numPr>
        <w:tabs>
          <w:tab w:val="clear" w:pos="432"/>
        </w:tabs>
        <w:rPr>
          <w:sz w:val="22"/>
        </w:rPr>
      </w:pPr>
      <w:r>
        <w:rPr>
          <w:sz w:val="22"/>
        </w:rPr>
        <w:t>A</w:t>
      </w:r>
      <w:r w:rsidR="00131EFC">
        <w:rPr>
          <w:sz w:val="22"/>
        </w:rPr>
        <w:t xml:space="preserve"> </w:t>
      </w:r>
      <w:r w:rsidR="00915F6B">
        <w:rPr>
          <w:sz w:val="22"/>
        </w:rPr>
        <w:t>three-</w:t>
      </w:r>
      <w:proofErr w:type="spellStart"/>
      <w:r w:rsidR="00915F6B">
        <w:rPr>
          <w:sz w:val="22"/>
        </w:rPr>
        <w:t>storey</w:t>
      </w:r>
      <w:proofErr w:type="spellEnd"/>
      <w:r w:rsidR="00915F6B">
        <w:rPr>
          <w:sz w:val="22"/>
        </w:rPr>
        <w:t xml:space="preserve"> </w:t>
      </w:r>
      <w:r w:rsidR="00AF0DD8">
        <w:rPr>
          <w:sz w:val="22"/>
        </w:rPr>
        <w:t xml:space="preserve">rendered masonry </w:t>
      </w:r>
      <w:r w:rsidR="00915F6B">
        <w:rPr>
          <w:sz w:val="22"/>
        </w:rPr>
        <w:t>Victorian terrace</w:t>
      </w:r>
      <w:r w:rsidR="00131EFC">
        <w:rPr>
          <w:sz w:val="22"/>
        </w:rPr>
        <w:t xml:space="preserve"> </w:t>
      </w:r>
      <w:r w:rsidR="006944A1">
        <w:rPr>
          <w:sz w:val="22"/>
        </w:rPr>
        <w:t>named ‘</w:t>
      </w:r>
      <w:proofErr w:type="spellStart"/>
      <w:r w:rsidR="006944A1">
        <w:rPr>
          <w:sz w:val="22"/>
        </w:rPr>
        <w:t>Arbirlot</w:t>
      </w:r>
      <w:proofErr w:type="spellEnd"/>
      <w:r w:rsidR="006944A1">
        <w:rPr>
          <w:sz w:val="22"/>
        </w:rPr>
        <w:t xml:space="preserve">’ that </w:t>
      </w:r>
      <w:r w:rsidR="00131EFC">
        <w:rPr>
          <w:sz w:val="22"/>
        </w:rPr>
        <w:t>fron</w:t>
      </w:r>
      <w:r w:rsidR="006944A1">
        <w:rPr>
          <w:sz w:val="22"/>
        </w:rPr>
        <w:t>ts</w:t>
      </w:r>
      <w:r w:rsidR="00131EFC">
        <w:rPr>
          <w:sz w:val="22"/>
        </w:rPr>
        <w:t xml:space="preserve"> Brunswick Street</w:t>
      </w:r>
      <w:r w:rsidR="00AF0DD8">
        <w:rPr>
          <w:sz w:val="22"/>
        </w:rPr>
        <w:t xml:space="preserve"> (‘the Main House’). The </w:t>
      </w:r>
      <w:r w:rsidR="0060536B">
        <w:rPr>
          <w:sz w:val="22"/>
        </w:rPr>
        <w:t xml:space="preserve">Main House has a full height arcaded façade on its </w:t>
      </w:r>
      <w:r w:rsidR="00AF0DD8">
        <w:rPr>
          <w:sz w:val="22"/>
        </w:rPr>
        <w:t xml:space="preserve">Brunswick Street frontage and </w:t>
      </w:r>
      <w:r w:rsidR="00773B04">
        <w:rPr>
          <w:sz w:val="22"/>
        </w:rPr>
        <w:t xml:space="preserve">is </w:t>
      </w:r>
      <w:r w:rsidR="00131EFC">
        <w:rPr>
          <w:sz w:val="22"/>
        </w:rPr>
        <w:t>highly intact</w:t>
      </w:r>
      <w:r w:rsidR="00E77827">
        <w:rPr>
          <w:sz w:val="22"/>
        </w:rPr>
        <w:t>. Modifications have been made to the rear western façade and interiors of th</w:t>
      </w:r>
      <w:r>
        <w:rPr>
          <w:sz w:val="22"/>
        </w:rPr>
        <w:t>e Main House</w:t>
      </w:r>
      <w:r w:rsidR="00E77827">
        <w:rPr>
          <w:sz w:val="22"/>
        </w:rPr>
        <w:t>.</w:t>
      </w:r>
    </w:p>
    <w:p w14:paraId="0D01B042" w14:textId="562EAD25" w:rsidR="00131EFC" w:rsidRDefault="0007126B" w:rsidP="009400F0">
      <w:pPr>
        <w:pStyle w:val="BP2"/>
        <w:numPr>
          <w:ilvl w:val="0"/>
          <w:numId w:val="17"/>
        </w:numPr>
        <w:tabs>
          <w:tab w:val="clear" w:pos="432"/>
        </w:tabs>
        <w:rPr>
          <w:sz w:val="22"/>
        </w:rPr>
      </w:pPr>
      <w:r>
        <w:rPr>
          <w:sz w:val="22"/>
        </w:rPr>
        <w:t>A</w:t>
      </w:r>
      <w:r w:rsidR="00E77827">
        <w:rPr>
          <w:sz w:val="22"/>
        </w:rPr>
        <w:t xml:space="preserve"> </w:t>
      </w:r>
      <w:r w:rsidR="00850636">
        <w:rPr>
          <w:sz w:val="22"/>
        </w:rPr>
        <w:t>two-</w:t>
      </w:r>
      <w:proofErr w:type="spellStart"/>
      <w:r w:rsidR="00850636">
        <w:rPr>
          <w:sz w:val="22"/>
        </w:rPr>
        <w:t>storey</w:t>
      </w:r>
      <w:proofErr w:type="spellEnd"/>
      <w:r w:rsidR="00850636">
        <w:rPr>
          <w:sz w:val="22"/>
        </w:rPr>
        <w:t xml:space="preserve"> wing</w:t>
      </w:r>
      <w:r w:rsidR="00E77827">
        <w:rPr>
          <w:sz w:val="22"/>
        </w:rPr>
        <w:t xml:space="preserve"> </w:t>
      </w:r>
      <w:r w:rsidR="00AF0DD8">
        <w:rPr>
          <w:sz w:val="22"/>
        </w:rPr>
        <w:t>at</w:t>
      </w:r>
      <w:r w:rsidR="00EA3E3B">
        <w:rPr>
          <w:sz w:val="22"/>
        </w:rPr>
        <w:t>tached to</w:t>
      </w:r>
      <w:r w:rsidR="00AF0DD8">
        <w:rPr>
          <w:sz w:val="22"/>
        </w:rPr>
        <w:t xml:space="preserve"> the rear of the </w:t>
      </w:r>
      <w:r>
        <w:rPr>
          <w:sz w:val="22"/>
        </w:rPr>
        <w:t>Main House</w:t>
      </w:r>
      <w:r w:rsidR="00AF0DD8">
        <w:rPr>
          <w:sz w:val="22"/>
        </w:rPr>
        <w:t xml:space="preserve">, </w:t>
      </w:r>
      <w:r w:rsidR="00850636">
        <w:rPr>
          <w:sz w:val="22"/>
        </w:rPr>
        <w:t>abut</w:t>
      </w:r>
      <w:r w:rsidR="00AF0DD8">
        <w:rPr>
          <w:sz w:val="22"/>
        </w:rPr>
        <w:t>ting</w:t>
      </w:r>
      <w:r w:rsidR="00850636">
        <w:rPr>
          <w:sz w:val="22"/>
        </w:rPr>
        <w:t xml:space="preserve"> the northern boundary of the Subject Site</w:t>
      </w:r>
      <w:r w:rsidR="00AF0DD8">
        <w:rPr>
          <w:sz w:val="22"/>
        </w:rPr>
        <w:t xml:space="preserve"> (‘the Rear Wing’)</w:t>
      </w:r>
      <w:r w:rsidR="00850636">
        <w:rPr>
          <w:sz w:val="22"/>
        </w:rPr>
        <w:t>. This wing has been modified internally and externally.</w:t>
      </w:r>
    </w:p>
    <w:p w14:paraId="381B4E52" w14:textId="77E099EF" w:rsidR="00E77827" w:rsidRDefault="00E77827" w:rsidP="009400F0">
      <w:pPr>
        <w:pStyle w:val="BP2"/>
        <w:numPr>
          <w:ilvl w:val="0"/>
          <w:numId w:val="17"/>
        </w:numPr>
        <w:tabs>
          <w:tab w:val="clear" w:pos="432"/>
        </w:tabs>
        <w:rPr>
          <w:sz w:val="22"/>
        </w:rPr>
      </w:pPr>
      <w:r>
        <w:rPr>
          <w:sz w:val="22"/>
        </w:rPr>
        <w:t>A two-</w:t>
      </w:r>
      <w:proofErr w:type="spellStart"/>
      <w:r>
        <w:rPr>
          <w:sz w:val="22"/>
        </w:rPr>
        <w:t>storey</w:t>
      </w:r>
      <w:proofErr w:type="spellEnd"/>
      <w:r>
        <w:rPr>
          <w:sz w:val="22"/>
        </w:rPr>
        <w:t xml:space="preserve"> concrete </w:t>
      </w:r>
      <w:r w:rsidR="00B23AF1">
        <w:rPr>
          <w:sz w:val="22"/>
        </w:rPr>
        <w:t xml:space="preserve">block </w:t>
      </w:r>
      <w:r>
        <w:rPr>
          <w:sz w:val="22"/>
        </w:rPr>
        <w:t>buildin</w:t>
      </w:r>
      <w:r w:rsidR="00234F73">
        <w:rPr>
          <w:sz w:val="22"/>
        </w:rPr>
        <w:t xml:space="preserve">g </w:t>
      </w:r>
      <w:r w:rsidR="00AF0DD8">
        <w:rPr>
          <w:sz w:val="22"/>
        </w:rPr>
        <w:t>(‘</w:t>
      </w:r>
      <w:r w:rsidR="0007126B">
        <w:rPr>
          <w:sz w:val="22"/>
        </w:rPr>
        <w:t>the Addition</w:t>
      </w:r>
      <w:r w:rsidR="00AF0DD8">
        <w:rPr>
          <w:sz w:val="22"/>
        </w:rPr>
        <w:t xml:space="preserve">’) </w:t>
      </w:r>
      <w:r w:rsidR="00787A8B">
        <w:rPr>
          <w:sz w:val="22"/>
        </w:rPr>
        <w:t>that</w:t>
      </w:r>
      <w:r w:rsidR="0007126B">
        <w:rPr>
          <w:sz w:val="22"/>
        </w:rPr>
        <w:t xml:space="preserve"> </w:t>
      </w:r>
      <w:r w:rsidR="00AF0DD8">
        <w:rPr>
          <w:sz w:val="22"/>
        </w:rPr>
        <w:t xml:space="preserve">abuts the </w:t>
      </w:r>
      <w:r w:rsidR="0007126B">
        <w:rPr>
          <w:sz w:val="22"/>
        </w:rPr>
        <w:t xml:space="preserve">Rear Wing and extends to the </w:t>
      </w:r>
      <w:r w:rsidR="00234F73">
        <w:rPr>
          <w:sz w:val="22"/>
        </w:rPr>
        <w:t>southern</w:t>
      </w:r>
      <w:r w:rsidR="0007126B">
        <w:rPr>
          <w:sz w:val="22"/>
        </w:rPr>
        <w:t xml:space="preserve">, </w:t>
      </w:r>
      <w:r w:rsidR="00234F73">
        <w:rPr>
          <w:sz w:val="22"/>
        </w:rPr>
        <w:t xml:space="preserve">northern and western boundaries of the Subject Site. The </w:t>
      </w:r>
      <w:r w:rsidR="0007126B">
        <w:rPr>
          <w:sz w:val="22"/>
        </w:rPr>
        <w:t>Addition is single-</w:t>
      </w:r>
      <w:proofErr w:type="spellStart"/>
      <w:r w:rsidR="0007126B">
        <w:rPr>
          <w:sz w:val="22"/>
        </w:rPr>
        <w:t>storey</w:t>
      </w:r>
      <w:proofErr w:type="spellEnd"/>
      <w:r w:rsidR="0007126B">
        <w:rPr>
          <w:sz w:val="22"/>
        </w:rPr>
        <w:t xml:space="preserve"> </w:t>
      </w:r>
      <w:r w:rsidR="00B23AF1">
        <w:rPr>
          <w:sz w:val="22"/>
        </w:rPr>
        <w:t xml:space="preserve">for the entire length of the southern elevation </w:t>
      </w:r>
      <w:r w:rsidR="0007126B">
        <w:rPr>
          <w:sz w:val="22"/>
        </w:rPr>
        <w:t xml:space="preserve">of the Rear Wing, </w:t>
      </w:r>
      <w:r w:rsidR="00B23AF1">
        <w:rPr>
          <w:sz w:val="22"/>
        </w:rPr>
        <w:t xml:space="preserve">with the roof forming </w:t>
      </w:r>
      <w:r w:rsidR="0007126B">
        <w:rPr>
          <w:sz w:val="22"/>
        </w:rPr>
        <w:t>a terrace that is accessible from the first floor of the Main House</w:t>
      </w:r>
      <w:r w:rsidR="00B23AF1">
        <w:rPr>
          <w:sz w:val="22"/>
        </w:rPr>
        <w:t>. The Addition is</w:t>
      </w:r>
      <w:r w:rsidR="00441B2D">
        <w:rPr>
          <w:sz w:val="22"/>
        </w:rPr>
        <w:t xml:space="preserve"> two-</w:t>
      </w:r>
      <w:proofErr w:type="spellStart"/>
      <w:r w:rsidR="00441B2D">
        <w:rPr>
          <w:sz w:val="22"/>
        </w:rPr>
        <w:t>storey</w:t>
      </w:r>
      <w:proofErr w:type="spellEnd"/>
      <w:r w:rsidR="00441B2D">
        <w:rPr>
          <w:sz w:val="22"/>
        </w:rPr>
        <w:t xml:space="preserve"> where it abuts the western wall of the Rear Wing.</w:t>
      </w:r>
    </w:p>
    <w:p w14:paraId="35030644" w14:textId="605910D3" w:rsidR="006944A1" w:rsidRDefault="006944A1" w:rsidP="00234F73">
      <w:pPr>
        <w:pStyle w:val="BP2"/>
        <w:numPr>
          <w:ilvl w:val="0"/>
          <w:numId w:val="3"/>
        </w:numPr>
        <w:tabs>
          <w:tab w:val="clear" w:pos="432"/>
        </w:tabs>
        <w:ind w:left="567" w:hanging="567"/>
        <w:rPr>
          <w:sz w:val="22"/>
        </w:rPr>
      </w:pPr>
      <w:r>
        <w:rPr>
          <w:sz w:val="22"/>
        </w:rPr>
        <w:t xml:space="preserve">The </w:t>
      </w:r>
      <w:r w:rsidR="0056363B">
        <w:rPr>
          <w:sz w:val="22"/>
        </w:rPr>
        <w:t xml:space="preserve">original </w:t>
      </w:r>
      <w:r w:rsidR="00EA3E3B">
        <w:rPr>
          <w:sz w:val="22"/>
        </w:rPr>
        <w:t xml:space="preserve">dwelling (comprising the </w:t>
      </w:r>
      <w:r>
        <w:rPr>
          <w:sz w:val="22"/>
        </w:rPr>
        <w:t>Main House and Rear Wing</w:t>
      </w:r>
      <w:r w:rsidR="00EA3E3B">
        <w:rPr>
          <w:sz w:val="22"/>
        </w:rPr>
        <w:t>)</w:t>
      </w:r>
      <w:r>
        <w:rPr>
          <w:sz w:val="22"/>
        </w:rPr>
        <w:t xml:space="preserve"> </w:t>
      </w:r>
      <w:r w:rsidR="00EA3E3B">
        <w:rPr>
          <w:sz w:val="22"/>
        </w:rPr>
        <w:t xml:space="preserve">was </w:t>
      </w:r>
      <w:r w:rsidR="00787A8B">
        <w:rPr>
          <w:sz w:val="22"/>
        </w:rPr>
        <w:t>constructed in 1891</w:t>
      </w:r>
      <w:r w:rsidR="0056363B">
        <w:rPr>
          <w:sz w:val="22"/>
        </w:rPr>
        <w:t xml:space="preserve">. </w:t>
      </w:r>
      <w:r w:rsidR="00787A8B">
        <w:rPr>
          <w:sz w:val="22"/>
        </w:rPr>
        <w:t>The Addition was constructed in approximately 2000.</w:t>
      </w:r>
    </w:p>
    <w:p w14:paraId="1E3FD836" w14:textId="4E121AD9" w:rsidR="00234F73" w:rsidRDefault="0007126B" w:rsidP="00234F73">
      <w:pPr>
        <w:pStyle w:val="BP2"/>
        <w:numPr>
          <w:ilvl w:val="0"/>
          <w:numId w:val="3"/>
        </w:numPr>
        <w:tabs>
          <w:tab w:val="clear" w:pos="432"/>
        </w:tabs>
        <w:ind w:left="567" w:hanging="567"/>
        <w:rPr>
          <w:sz w:val="22"/>
        </w:rPr>
      </w:pPr>
      <w:r>
        <w:rPr>
          <w:sz w:val="22"/>
        </w:rPr>
        <w:t xml:space="preserve">The ground floor of the Main House is </w:t>
      </w:r>
      <w:r w:rsidR="001F0A06">
        <w:rPr>
          <w:sz w:val="22"/>
        </w:rPr>
        <w:t xml:space="preserve">presently used </w:t>
      </w:r>
      <w:r w:rsidR="00EC0195">
        <w:rPr>
          <w:sz w:val="22"/>
        </w:rPr>
        <w:t>as a gallery with associated offices</w:t>
      </w:r>
      <w:r w:rsidR="00760703">
        <w:rPr>
          <w:sz w:val="22"/>
        </w:rPr>
        <w:t>.</w:t>
      </w:r>
      <w:r>
        <w:rPr>
          <w:sz w:val="22"/>
        </w:rPr>
        <w:t xml:space="preserve"> The first and second floors of the Main House and Rear Wing are used as a residence.</w:t>
      </w:r>
    </w:p>
    <w:p w14:paraId="5EABBCF4" w14:textId="1F975856" w:rsidR="00234F73" w:rsidRDefault="00234F73" w:rsidP="00234F73">
      <w:pPr>
        <w:pStyle w:val="BP2"/>
        <w:numPr>
          <w:ilvl w:val="0"/>
          <w:numId w:val="3"/>
        </w:numPr>
        <w:tabs>
          <w:tab w:val="clear" w:pos="432"/>
        </w:tabs>
        <w:ind w:left="567" w:hanging="567"/>
        <w:rPr>
          <w:sz w:val="22"/>
        </w:rPr>
      </w:pPr>
      <w:r>
        <w:rPr>
          <w:sz w:val="22"/>
        </w:rPr>
        <w:t xml:space="preserve">The </w:t>
      </w:r>
      <w:bookmarkStart w:id="4" w:name="_Hlk9943499"/>
      <w:r w:rsidR="00A30B9E">
        <w:rPr>
          <w:sz w:val="22"/>
        </w:rPr>
        <w:t xml:space="preserve">expert witness statement of </w:t>
      </w:r>
      <w:proofErr w:type="spellStart"/>
      <w:r w:rsidR="00A30B9E">
        <w:rPr>
          <w:sz w:val="22"/>
        </w:rPr>
        <w:t>Mr</w:t>
      </w:r>
      <w:proofErr w:type="spellEnd"/>
      <w:r w:rsidR="00A30B9E">
        <w:rPr>
          <w:sz w:val="22"/>
        </w:rPr>
        <w:t xml:space="preserve"> </w:t>
      </w:r>
      <w:proofErr w:type="spellStart"/>
      <w:r w:rsidR="00A30B9E">
        <w:rPr>
          <w:sz w:val="22"/>
        </w:rPr>
        <w:t>Raworth</w:t>
      </w:r>
      <w:proofErr w:type="spellEnd"/>
      <w:r w:rsidR="00E0491A">
        <w:rPr>
          <w:sz w:val="22"/>
        </w:rPr>
        <w:t>, dated 4 April 2019</w:t>
      </w:r>
      <w:bookmarkEnd w:id="4"/>
      <w:r w:rsidR="00E0491A">
        <w:rPr>
          <w:sz w:val="22"/>
        </w:rPr>
        <w:t>,</w:t>
      </w:r>
      <w:r w:rsidR="00A30B9E">
        <w:rPr>
          <w:sz w:val="22"/>
        </w:rPr>
        <w:t xml:space="preserve"> </w:t>
      </w:r>
      <w:r w:rsidR="00DD548D">
        <w:rPr>
          <w:sz w:val="22"/>
        </w:rPr>
        <w:t xml:space="preserve">includes the following excerpts </w:t>
      </w:r>
      <w:r w:rsidR="00A30B9E">
        <w:rPr>
          <w:sz w:val="22"/>
        </w:rPr>
        <w:t>describ</w:t>
      </w:r>
      <w:r w:rsidR="00DD548D">
        <w:rPr>
          <w:sz w:val="22"/>
        </w:rPr>
        <w:t>ing</w:t>
      </w:r>
      <w:r w:rsidR="00A30B9E">
        <w:rPr>
          <w:sz w:val="22"/>
        </w:rPr>
        <w:t xml:space="preserve"> the surrounding context of the Subject Site:</w:t>
      </w:r>
      <w:r w:rsidR="00A30B9E">
        <w:rPr>
          <w:rStyle w:val="FootnoteReference"/>
          <w:sz w:val="22"/>
        </w:rPr>
        <w:footnoteReference w:id="1"/>
      </w:r>
    </w:p>
    <w:p w14:paraId="72B7BD8E" w14:textId="1A612151" w:rsidR="00A30B9E" w:rsidRDefault="00A30B9E" w:rsidP="00A30B9E">
      <w:pPr>
        <w:pStyle w:val="BP2"/>
        <w:tabs>
          <w:tab w:val="clear" w:pos="432"/>
        </w:tabs>
        <w:ind w:left="993"/>
        <w:rPr>
          <w:i/>
          <w:sz w:val="22"/>
        </w:rPr>
      </w:pPr>
      <w:r w:rsidRPr="00A30B9E">
        <w:rPr>
          <w:i/>
          <w:sz w:val="22"/>
        </w:rPr>
        <w:t>The west side of Brunswick Street, to either side of the subject site, is characterized by a series of architecturally elaborate, multi-</w:t>
      </w:r>
      <w:proofErr w:type="spellStart"/>
      <w:r w:rsidRPr="00A30B9E">
        <w:rPr>
          <w:i/>
          <w:sz w:val="22"/>
        </w:rPr>
        <w:t>storey</w:t>
      </w:r>
      <w:proofErr w:type="spellEnd"/>
      <w:r w:rsidRPr="00A30B9E">
        <w:rPr>
          <w:i/>
          <w:sz w:val="22"/>
        </w:rPr>
        <w:t xml:space="preserve"> Victorian and Edwardian heritage buildings. These include </w:t>
      </w:r>
      <w:r>
        <w:rPr>
          <w:i/>
          <w:sz w:val="22"/>
        </w:rPr>
        <w:t xml:space="preserve">a large, freestanding double </w:t>
      </w:r>
      <w:proofErr w:type="spellStart"/>
      <w:r>
        <w:rPr>
          <w:i/>
          <w:sz w:val="22"/>
        </w:rPr>
        <w:t>storey</w:t>
      </w:r>
      <w:proofErr w:type="spellEnd"/>
      <w:r>
        <w:rPr>
          <w:i/>
          <w:sz w:val="22"/>
        </w:rPr>
        <w:t xml:space="preserve"> Italianate villa at 7 Brunswick Street [VHR H1706]</w:t>
      </w:r>
      <w:r w:rsidR="00DD548D">
        <w:rPr>
          <w:i/>
          <w:sz w:val="22"/>
        </w:rPr>
        <w:t xml:space="preserve">, and elaborately decorated double-story (sic) commercial buildings at 13 Brunswick Street [VHR H0150] and 15 and 17 Brunswick Street. The adjacent site to the south at 9 Brunswick Street contains a discreetly designed modern double </w:t>
      </w:r>
      <w:proofErr w:type="spellStart"/>
      <w:r w:rsidR="00DD548D">
        <w:rPr>
          <w:i/>
          <w:sz w:val="22"/>
        </w:rPr>
        <w:t>storey</w:t>
      </w:r>
      <w:proofErr w:type="spellEnd"/>
      <w:r w:rsidR="00DD548D">
        <w:rPr>
          <w:i/>
          <w:sz w:val="22"/>
        </w:rPr>
        <w:t xml:space="preserve"> infill building at a setback. Opposite the site, to the east, is St Mary of the Cross Square, which includes an Australian Catholic University building of at least nine </w:t>
      </w:r>
      <w:proofErr w:type="spellStart"/>
      <w:r w:rsidR="00DD548D">
        <w:rPr>
          <w:i/>
          <w:sz w:val="22"/>
        </w:rPr>
        <w:t>storeys</w:t>
      </w:r>
      <w:proofErr w:type="spellEnd"/>
      <w:r w:rsidR="00DD548D">
        <w:rPr>
          <w:i/>
          <w:sz w:val="22"/>
        </w:rPr>
        <w:t xml:space="preserve"> on its eastern side. The three </w:t>
      </w:r>
      <w:proofErr w:type="spellStart"/>
      <w:r w:rsidR="00DD548D">
        <w:rPr>
          <w:i/>
          <w:sz w:val="22"/>
        </w:rPr>
        <w:t>storey</w:t>
      </w:r>
      <w:proofErr w:type="spellEnd"/>
      <w:r w:rsidR="00DD548D">
        <w:rPr>
          <w:i/>
          <w:sz w:val="22"/>
        </w:rPr>
        <w:t xml:space="preserve"> Victorian commercial building with a rendered façade at 22 Brunswick Street (Cathedral Hall) is the nearest heritage building on the east side of the street.</w:t>
      </w:r>
    </w:p>
    <w:p w14:paraId="1B47EAAF" w14:textId="58D9FF9B" w:rsidR="00DD548D" w:rsidRPr="00A30B9E" w:rsidRDefault="00DD548D" w:rsidP="00A30B9E">
      <w:pPr>
        <w:pStyle w:val="BP2"/>
        <w:tabs>
          <w:tab w:val="clear" w:pos="432"/>
        </w:tabs>
        <w:ind w:left="993"/>
        <w:rPr>
          <w:i/>
          <w:sz w:val="22"/>
        </w:rPr>
      </w:pPr>
      <w:r>
        <w:rPr>
          <w:i/>
          <w:sz w:val="22"/>
        </w:rPr>
        <w:lastRenderedPageBreak/>
        <w:t xml:space="preserve">Across the adjacent laneway to the west and south west is substantial built form associated with St Vincent’s Hospital, including a </w:t>
      </w:r>
      <w:proofErr w:type="spellStart"/>
      <w:r>
        <w:rPr>
          <w:i/>
          <w:sz w:val="22"/>
        </w:rPr>
        <w:t>highrise</w:t>
      </w:r>
      <w:proofErr w:type="spellEnd"/>
      <w:r>
        <w:rPr>
          <w:i/>
          <w:sz w:val="22"/>
        </w:rPr>
        <w:t xml:space="preserve"> car park and larger modern hospital building. This forms a prominent backdrop to the subject site…</w:t>
      </w:r>
    </w:p>
    <w:p w14:paraId="052355C4" w14:textId="0165D514" w:rsidR="00F54724" w:rsidRPr="00F54724" w:rsidRDefault="00234F73" w:rsidP="00F54724">
      <w:pPr>
        <w:pStyle w:val="H4"/>
        <w:keepNext/>
        <w:spacing w:after="120"/>
        <w:rPr>
          <w:sz w:val="22"/>
        </w:rPr>
      </w:pPr>
      <w:r>
        <w:rPr>
          <w:sz w:val="22"/>
        </w:rPr>
        <w:t xml:space="preserve">CULTURAL HERITAGE SIGNIFICANCE OF </w:t>
      </w:r>
      <w:r w:rsidRPr="00234F73">
        <w:rPr>
          <w:sz w:val="22"/>
        </w:rPr>
        <w:t>The place</w:t>
      </w:r>
    </w:p>
    <w:p w14:paraId="45947747" w14:textId="3BC4FE3E" w:rsidR="007100FA" w:rsidRDefault="0015613E" w:rsidP="00F54724">
      <w:pPr>
        <w:pStyle w:val="BP2"/>
        <w:numPr>
          <w:ilvl w:val="0"/>
          <w:numId w:val="3"/>
        </w:numPr>
        <w:tabs>
          <w:tab w:val="clear" w:pos="432"/>
        </w:tabs>
        <w:ind w:left="567" w:hanging="567"/>
        <w:rPr>
          <w:sz w:val="22"/>
        </w:rPr>
      </w:pPr>
      <w:r>
        <w:rPr>
          <w:sz w:val="22"/>
        </w:rPr>
        <w:t xml:space="preserve">The </w:t>
      </w:r>
      <w:r w:rsidR="00DE52BF">
        <w:rPr>
          <w:sz w:val="22"/>
        </w:rPr>
        <w:t xml:space="preserve">original 1891 building on the </w:t>
      </w:r>
      <w:r w:rsidR="00040167">
        <w:rPr>
          <w:sz w:val="22"/>
        </w:rPr>
        <w:t>Subject Site</w:t>
      </w:r>
      <w:r w:rsidR="00813D0B">
        <w:rPr>
          <w:sz w:val="22"/>
        </w:rPr>
        <w:t xml:space="preserve"> is </w:t>
      </w:r>
      <w:r w:rsidR="004E310C">
        <w:rPr>
          <w:sz w:val="22"/>
        </w:rPr>
        <w:t>included in the Victorian Heritage Register (‘the Register’)</w:t>
      </w:r>
      <w:r w:rsidR="007A6216">
        <w:rPr>
          <w:sz w:val="22"/>
        </w:rPr>
        <w:t xml:space="preserve"> as a place of cultural heritage significance to the State of Victoria</w:t>
      </w:r>
      <w:r w:rsidR="00DE52BF">
        <w:rPr>
          <w:sz w:val="22"/>
        </w:rPr>
        <w:t xml:space="preserve"> (‘the Place’), </w:t>
      </w:r>
      <w:r w:rsidR="0056363B">
        <w:rPr>
          <w:sz w:val="22"/>
        </w:rPr>
        <w:t>being registered place H0149.</w:t>
      </w:r>
      <w:r w:rsidR="0056363B">
        <w:rPr>
          <w:rStyle w:val="FootnoteReference"/>
          <w:sz w:val="22"/>
        </w:rPr>
        <w:footnoteReference w:id="2"/>
      </w:r>
      <w:r w:rsidR="007100FA">
        <w:rPr>
          <w:sz w:val="22"/>
        </w:rPr>
        <w:t xml:space="preserve"> </w:t>
      </w:r>
    </w:p>
    <w:p w14:paraId="42ECCEC3" w14:textId="1F86B087" w:rsidR="006D094F" w:rsidRDefault="00787A8B" w:rsidP="00F54724">
      <w:pPr>
        <w:pStyle w:val="BP2"/>
        <w:numPr>
          <w:ilvl w:val="0"/>
          <w:numId w:val="3"/>
        </w:numPr>
        <w:tabs>
          <w:tab w:val="clear" w:pos="432"/>
        </w:tabs>
        <w:ind w:left="567" w:hanging="567"/>
        <w:rPr>
          <w:sz w:val="22"/>
        </w:rPr>
      </w:pPr>
      <w:r>
        <w:rPr>
          <w:sz w:val="22"/>
        </w:rPr>
        <w:t xml:space="preserve">The </w:t>
      </w:r>
      <w:r w:rsidR="0056363B">
        <w:rPr>
          <w:sz w:val="22"/>
        </w:rPr>
        <w:t xml:space="preserve">extent of registration of the Place </w:t>
      </w:r>
      <w:r w:rsidR="006D094F">
        <w:rPr>
          <w:sz w:val="22"/>
        </w:rPr>
        <w:t xml:space="preserve">is identified on page 2 of the Executive Director’s first written hearing submission, dated 5 April 2019. Importantly, </w:t>
      </w:r>
      <w:r w:rsidR="00CC3C29">
        <w:rPr>
          <w:sz w:val="22"/>
        </w:rPr>
        <w:t>it</w:t>
      </w:r>
      <w:r w:rsidR="006D094F">
        <w:rPr>
          <w:sz w:val="22"/>
        </w:rPr>
        <w:t xml:space="preserve"> only comprises the building footprint of the original Main House and Rear Wing and does not include any land associated with that building footprint or the balance of the Subject Site.</w:t>
      </w:r>
    </w:p>
    <w:p w14:paraId="59459CA8" w14:textId="1A243CDF" w:rsidR="00F54724" w:rsidRPr="00F54724" w:rsidRDefault="006D094F" w:rsidP="00F54724">
      <w:pPr>
        <w:pStyle w:val="BP2"/>
        <w:numPr>
          <w:ilvl w:val="0"/>
          <w:numId w:val="3"/>
        </w:numPr>
        <w:tabs>
          <w:tab w:val="clear" w:pos="432"/>
        </w:tabs>
        <w:ind w:left="567" w:hanging="567"/>
        <w:rPr>
          <w:sz w:val="22"/>
        </w:rPr>
      </w:pPr>
      <w:r>
        <w:rPr>
          <w:sz w:val="22"/>
        </w:rPr>
        <w:t>The</w:t>
      </w:r>
      <w:r w:rsidR="0056363B">
        <w:rPr>
          <w:sz w:val="22"/>
        </w:rPr>
        <w:t xml:space="preserve"> </w:t>
      </w:r>
      <w:r>
        <w:rPr>
          <w:sz w:val="22"/>
        </w:rPr>
        <w:t>extent of registration</w:t>
      </w:r>
      <w:r w:rsidR="00441B2D">
        <w:rPr>
          <w:sz w:val="22"/>
        </w:rPr>
        <w:t>, and its implications for</w:t>
      </w:r>
      <w:r>
        <w:rPr>
          <w:sz w:val="22"/>
        </w:rPr>
        <w:t xml:space="preserve"> </w:t>
      </w:r>
      <w:r w:rsidR="0056363B">
        <w:rPr>
          <w:sz w:val="22"/>
        </w:rPr>
        <w:t>th</w:t>
      </w:r>
      <w:r w:rsidR="00441B2D">
        <w:rPr>
          <w:sz w:val="22"/>
        </w:rPr>
        <w:t>e</w:t>
      </w:r>
      <w:r w:rsidR="0056363B">
        <w:rPr>
          <w:sz w:val="22"/>
        </w:rPr>
        <w:t xml:space="preserve"> Review</w:t>
      </w:r>
      <w:r w:rsidR="00441B2D">
        <w:rPr>
          <w:sz w:val="22"/>
        </w:rPr>
        <w:t>,</w:t>
      </w:r>
      <w:r w:rsidR="0056363B">
        <w:rPr>
          <w:sz w:val="22"/>
        </w:rPr>
        <w:t xml:space="preserve"> are discussed in </w:t>
      </w:r>
      <w:r w:rsidR="00BC1F75">
        <w:rPr>
          <w:sz w:val="22"/>
        </w:rPr>
        <w:t xml:space="preserve">more detail in </w:t>
      </w:r>
      <w:r w:rsidR="0056363B">
        <w:rPr>
          <w:sz w:val="22"/>
        </w:rPr>
        <w:t>paragraph</w:t>
      </w:r>
      <w:r w:rsidR="0056363B" w:rsidRPr="00F279D5">
        <w:rPr>
          <w:sz w:val="22"/>
        </w:rPr>
        <w:t xml:space="preserve">s </w:t>
      </w:r>
      <w:r w:rsidR="000612C6" w:rsidRPr="00F279D5">
        <w:rPr>
          <w:sz w:val="22"/>
        </w:rPr>
        <w:fldChar w:fldCharType="begin"/>
      </w:r>
      <w:r w:rsidR="000612C6" w:rsidRPr="00F279D5">
        <w:rPr>
          <w:sz w:val="22"/>
        </w:rPr>
        <w:instrText xml:space="preserve"> REF _Ref11784299 \r \h </w:instrText>
      </w:r>
      <w:r w:rsidR="00E6411A" w:rsidRPr="00F279D5">
        <w:rPr>
          <w:sz w:val="22"/>
        </w:rPr>
        <w:instrText xml:space="preserve"> \* MERGEFORMAT </w:instrText>
      </w:r>
      <w:r w:rsidR="000612C6" w:rsidRPr="00F279D5">
        <w:rPr>
          <w:sz w:val="22"/>
        </w:rPr>
      </w:r>
      <w:r w:rsidR="000612C6" w:rsidRPr="00F279D5">
        <w:rPr>
          <w:sz w:val="22"/>
        </w:rPr>
        <w:fldChar w:fldCharType="separate"/>
      </w:r>
      <w:r w:rsidR="00F414A6">
        <w:rPr>
          <w:sz w:val="22"/>
        </w:rPr>
        <w:t>041</w:t>
      </w:r>
      <w:r w:rsidR="000612C6" w:rsidRPr="00F279D5">
        <w:rPr>
          <w:sz w:val="22"/>
        </w:rPr>
        <w:fldChar w:fldCharType="end"/>
      </w:r>
      <w:r w:rsidR="0056363B" w:rsidRPr="00F279D5">
        <w:rPr>
          <w:sz w:val="22"/>
        </w:rPr>
        <w:t xml:space="preserve"> to </w:t>
      </w:r>
      <w:r w:rsidR="00EA4A64" w:rsidRPr="00F279D5">
        <w:rPr>
          <w:sz w:val="22"/>
        </w:rPr>
        <w:fldChar w:fldCharType="begin"/>
      </w:r>
      <w:r w:rsidR="00EA4A64" w:rsidRPr="00F279D5">
        <w:rPr>
          <w:sz w:val="22"/>
        </w:rPr>
        <w:instrText xml:space="preserve"> REF _Ref10619063 \r \h </w:instrText>
      </w:r>
      <w:r w:rsidR="00E6411A" w:rsidRPr="00F279D5">
        <w:rPr>
          <w:sz w:val="22"/>
        </w:rPr>
        <w:instrText xml:space="preserve"> \* MERGEFORMAT </w:instrText>
      </w:r>
      <w:r w:rsidR="00EA4A64" w:rsidRPr="00F279D5">
        <w:rPr>
          <w:sz w:val="22"/>
        </w:rPr>
      </w:r>
      <w:r w:rsidR="00EA4A64" w:rsidRPr="00F279D5">
        <w:rPr>
          <w:sz w:val="22"/>
        </w:rPr>
        <w:fldChar w:fldCharType="separate"/>
      </w:r>
      <w:r w:rsidR="00F414A6">
        <w:rPr>
          <w:sz w:val="22"/>
        </w:rPr>
        <w:t>051</w:t>
      </w:r>
      <w:r w:rsidR="00EA4A64" w:rsidRPr="00F279D5">
        <w:rPr>
          <w:sz w:val="22"/>
        </w:rPr>
        <w:fldChar w:fldCharType="end"/>
      </w:r>
      <w:r w:rsidR="0056363B">
        <w:rPr>
          <w:sz w:val="22"/>
        </w:rPr>
        <w:t xml:space="preserve"> below.</w:t>
      </w:r>
    </w:p>
    <w:p w14:paraId="2B5387AC" w14:textId="1CC58535" w:rsidR="006E100F" w:rsidRDefault="3AB8B1F8" w:rsidP="3AB8B1F8">
      <w:pPr>
        <w:pStyle w:val="BP2"/>
        <w:numPr>
          <w:ilvl w:val="0"/>
          <w:numId w:val="3"/>
        </w:numPr>
        <w:tabs>
          <w:tab w:val="clear" w:pos="432"/>
        </w:tabs>
        <w:ind w:left="567" w:hanging="567"/>
        <w:rPr>
          <w:sz w:val="22"/>
          <w:szCs w:val="22"/>
        </w:rPr>
      </w:pPr>
      <w:r w:rsidRPr="3AB8B1F8">
        <w:rPr>
          <w:sz w:val="22"/>
          <w:szCs w:val="22"/>
        </w:rPr>
        <w:t>The Statement of Significance describes the Place as follows:</w:t>
      </w:r>
    </w:p>
    <w:p w14:paraId="1D467003" w14:textId="454A0C54" w:rsidR="006D0E0B" w:rsidRPr="006068E1" w:rsidRDefault="006D0E0B" w:rsidP="006D0E0B">
      <w:pPr>
        <w:pStyle w:val="BP2"/>
        <w:tabs>
          <w:tab w:val="clear" w:pos="432"/>
        </w:tabs>
        <w:ind w:left="851"/>
        <w:rPr>
          <w:i/>
          <w:sz w:val="22"/>
        </w:rPr>
      </w:pPr>
      <w:r w:rsidRPr="006068E1">
        <w:rPr>
          <w:i/>
          <w:sz w:val="22"/>
        </w:rPr>
        <w:t>The Residence at 11 Brunswick Street</w:t>
      </w:r>
      <w:r w:rsidR="00EA4A64">
        <w:rPr>
          <w:i/>
          <w:sz w:val="22"/>
        </w:rPr>
        <w:t>,</w:t>
      </w:r>
      <w:r w:rsidRPr="006068E1">
        <w:rPr>
          <w:i/>
          <w:sz w:val="22"/>
        </w:rPr>
        <w:t xml:space="preserve"> Fitzroy is a three </w:t>
      </w:r>
      <w:proofErr w:type="spellStart"/>
      <w:r w:rsidRPr="006068E1">
        <w:rPr>
          <w:i/>
          <w:sz w:val="22"/>
        </w:rPr>
        <w:t>storey</w:t>
      </w:r>
      <w:proofErr w:type="spellEnd"/>
      <w:r w:rsidRPr="006068E1">
        <w:rPr>
          <w:i/>
          <w:sz w:val="22"/>
        </w:rPr>
        <w:t xml:space="preserve"> brick building, built in 1891 as a residence for Alexander Sturrock, a salesman. The four-bay rendered façade supports an attached three-pier arcade.</w:t>
      </w:r>
    </w:p>
    <w:p w14:paraId="3243DB83" w14:textId="77777777" w:rsidR="006D0E0B" w:rsidRPr="006068E1" w:rsidRDefault="006D0E0B" w:rsidP="006D0E0B">
      <w:pPr>
        <w:pStyle w:val="BP2"/>
        <w:tabs>
          <w:tab w:val="clear" w:pos="432"/>
        </w:tabs>
        <w:ind w:left="851"/>
        <w:rPr>
          <w:i/>
          <w:sz w:val="22"/>
        </w:rPr>
      </w:pPr>
      <w:r w:rsidRPr="006068E1">
        <w:rPr>
          <w:i/>
          <w:sz w:val="22"/>
        </w:rPr>
        <w:t>The Residence at 11 Brunswick Street is of architectural and historical significance to the State of Victoria.</w:t>
      </w:r>
    </w:p>
    <w:p w14:paraId="704901CF" w14:textId="77777777" w:rsidR="006D0E0B" w:rsidRPr="006068E1" w:rsidRDefault="006D0E0B" w:rsidP="006D0E0B">
      <w:pPr>
        <w:pStyle w:val="BP2"/>
        <w:tabs>
          <w:tab w:val="clear" w:pos="432"/>
        </w:tabs>
        <w:ind w:left="851"/>
        <w:rPr>
          <w:i/>
          <w:sz w:val="22"/>
        </w:rPr>
      </w:pPr>
      <w:r w:rsidRPr="006068E1">
        <w:rPr>
          <w:i/>
          <w:sz w:val="22"/>
        </w:rPr>
        <w:t xml:space="preserve">The Residence at 11 Brunswick Street is of architectural significance as an interesting example of boom style terrace house architecture. The superimposed arcade is a typical element used in domestic buildings of this period. This </w:t>
      </w:r>
      <w:proofErr w:type="gramStart"/>
      <w:r w:rsidRPr="006068E1">
        <w:rPr>
          <w:i/>
          <w:sz w:val="22"/>
        </w:rPr>
        <w:t>particular example</w:t>
      </w:r>
      <w:proofErr w:type="gramEnd"/>
      <w:r w:rsidRPr="006068E1">
        <w:rPr>
          <w:i/>
          <w:sz w:val="22"/>
        </w:rPr>
        <w:t xml:space="preserve"> is of unusual width and the different application of </w:t>
      </w:r>
      <w:proofErr w:type="spellStart"/>
      <w:r w:rsidRPr="006068E1">
        <w:rPr>
          <w:i/>
          <w:sz w:val="22"/>
        </w:rPr>
        <w:t>mouldings</w:t>
      </w:r>
      <w:proofErr w:type="spellEnd"/>
      <w:r w:rsidRPr="006068E1">
        <w:rPr>
          <w:i/>
          <w:sz w:val="22"/>
        </w:rPr>
        <w:t xml:space="preserve"> and other decorative features on each floor is notable.</w:t>
      </w:r>
    </w:p>
    <w:p w14:paraId="4E368984" w14:textId="505161E4" w:rsidR="006D0E0B" w:rsidRPr="006D0E0B" w:rsidRDefault="006D0E0B" w:rsidP="006D0E0B">
      <w:pPr>
        <w:pStyle w:val="BP2"/>
        <w:tabs>
          <w:tab w:val="clear" w:pos="432"/>
        </w:tabs>
        <w:ind w:left="851"/>
        <w:rPr>
          <w:i/>
          <w:iCs/>
          <w:sz w:val="22"/>
          <w:szCs w:val="22"/>
        </w:rPr>
      </w:pPr>
      <w:r w:rsidRPr="3AB8B1F8">
        <w:rPr>
          <w:i/>
          <w:iCs/>
          <w:sz w:val="22"/>
          <w:szCs w:val="22"/>
        </w:rPr>
        <w:t>The Residence at 11 Brunswick Street is of historical significance as an example of the character of inner Melbourne development in the late 19</w:t>
      </w:r>
      <w:r w:rsidRPr="3AB8B1F8">
        <w:rPr>
          <w:i/>
          <w:iCs/>
          <w:sz w:val="22"/>
          <w:szCs w:val="22"/>
          <w:vertAlign w:val="superscript"/>
        </w:rPr>
        <w:t>th</w:t>
      </w:r>
      <w:r w:rsidRPr="3AB8B1F8">
        <w:rPr>
          <w:i/>
          <w:iCs/>
          <w:sz w:val="22"/>
          <w:szCs w:val="22"/>
        </w:rPr>
        <w:t xml:space="preserve"> century, and as an integral element of the Brunswick Street/Gertrude Street precinct. The grand proportions and ornate finish of the building are evidence of the flow of wealth into Melbourne </w:t>
      </w:r>
      <w:proofErr w:type="gramStart"/>
      <w:r w:rsidRPr="3AB8B1F8">
        <w:rPr>
          <w:i/>
          <w:iCs/>
          <w:sz w:val="22"/>
          <w:szCs w:val="22"/>
        </w:rPr>
        <w:t>as a result of</w:t>
      </w:r>
      <w:proofErr w:type="gramEnd"/>
      <w:r w:rsidRPr="3AB8B1F8">
        <w:rPr>
          <w:i/>
          <w:iCs/>
          <w:sz w:val="22"/>
          <w:szCs w:val="22"/>
        </w:rPr>
        <w:t xml:space="preserve"> the gold rushes in previous decades, although this building is also notable for being built just after the onset of the 1890s depression. Together with the other elements of the Brunswick Street/Gertrude Street precinct, including </w:t>
      </w:r>
      <w:proofErr w:type="spellStart"/>
      <w:r w:rsidRPr="3AB8B1F8">
        <w:rPr>
          <w:i/>
          <w:iCs/>
          <w:sz w:val="22"/>
          <w:szCs w:val="22"/>
        </w:rPr>
        <w:t>neighbouring</w:t>
      </w:r>
      <w:proofErr w:type="spellEnd"/>
      <w:r w:rsidRPr="3AB8B1F8">
        <w:rPr>
          <w:i/>
          <w:iCs/>
          <w:sz w:val="22"/>
          <w:szCs w:val="22"/>
        </w:rPr>
        <w:t xml:space="preserve"> </w:t>
      </w:r>
      <w:proofErr w:type="spellStart"/>
      <w:r w:rsidRPr="3AB8B1F8">
        <w:rPr>
          <w:i/>
          <w:iCs/>
          <w:sz w:val="22"/>
          <w:szCs w:val="22"/>
        </w:rPr>
        <w:t>Dodgshun</w:t>
      </w:r>
      <w:proofErr w:type="spellEnd"/>
      <w:r w:rsidRPr="3AB8B1F8">
        <w:rPr>
          <w:i/>
          <w:iCs/>
          <w:sz w:val="22"/>
          <w:szCs w:val="22"/>
        </w:rPr>
        <w:t xml:space="preserve"> House, the house demonstrates the substantial character of this part of Fitzroy at the end of the 19</w:t>
      </w:r>
      <w:r w:rsidRPr="3AB8B1F8">
        <w:rPr>
          <w:i/>
          <w:iCs/>
          <w:sz w:val="22"/>
          <w:szCs w:val="22"/>
          <w:vertAlign w:val="superscript"/>
        </w:rPr>
        <w:t>th</w:t>
      </w:r>
      <w:r w:rsidRPr="3AB8B1F8">
        <w:rPr>
          <w:i/>
          <w:iCs/>
          <w:sz w:val="22"/>
          <w:szCs w:val="22"/>
        </w:rPr>
        <w:t xml:space="preserve"> century.</w:t>
      </w:r>
    </w:p>
    <w:p w14:paraId="3C9682EB" w14:textId="098F4778" w:rsidR="00EE3E0C" w:rsidRPr="00E6411A" w:rsidRDefault="00C86EA9" w:rsidP="006D0E0B">
      <w:pPr>
        <w:pStyle w:val="H4"/>
        <w:keepNext/>
        <w:spacing w:after="120"/>
        <w:rPr>
          <w:sz w:val="22"/>
        </w:rPr>
      </w:pPr>
      <w:r w:rsidRPr="00E6411A">
        <w:rPr>
          <w:sz w:val="22"/>
        </w:rPr>
        <w:t>Yarra Planning Scheme</w:t>
      </w:r>
      <w:r w:rsidR="009B04B5">
        <w:rPr>
          <w:sz w:val="22"/>
        </w:rPr>
        <w:t xml:space="preserve"> AND THE PLANNING PERMIT</w:t>
      </w:r>
    </w:p>
    <w:p w14:paraId="5BAA4E8B" w14:textId="28D55E70" w:rsidR="00EE3E0C" w:rsidRPr="00E6411A" w:rsidRDefault="00EE3E0C" w:rsidP="00473C68">
      <w:pPr>
        <w:pStyle w:val="BP2"/>
        <w:numPr>
          <w:ilvl w:val="0"/>
          <w:numId w:val="3"/>
        </w:numPr>
        <w:tabs>
          <w:tab w:val="clear" w:pos="432"/>
        </w:tabs>
        <w:ind w:left="567" w:hanging="567"/>
        <w:rPr>
          <w:sz w:val="22"/>
          <w:szCs w:val="22"/>
        </w:rPr>
      </w:pPr>
      <w:bookmarkStart w:id="5" w:name="_Ref9508050"/>
      <w:r w:rsidRPr="00E6411A">
        <w:rPr>
          <w:sz w:val="22"/>
          <w:szCs w:val="22"/>
        </w:rPr>
        <w:t xml:space="preserve">The </w:t>
      </w:r>
      <w:r w:rsidR="00C86EA9" w:rsidRPr="00E6411A">
        <w:rPr>
          <w:sz w:val="22"/>
          <w:szCs w:val="22"/>
        </w:rPr>
        <w:t>Subject Site</w:t>
      </w:r>
      <w:r w:rsidRPr="00E6411A">
        <w:rPr>
          <w:sz w:val="22"/>
          <w:szCs w:val="22"/>
        </w:rPr>
        <w:t xml:space="preserve"> is </w:t>
      </w:r>
      <w:r w:rsidR="00981133" w:rsidRPr="00E6411A">
        <w:rPr>
          <w:sz w:val="22"/>
          <w:szCs w:val="22"/>
        </w:rPr>
        <w:t xml:space="preserve">individually </w:t>
      </w:r>
      <w:r w:rsidR="00711921" w:rsidRPr="00E6411A">
        <w:rPr>
          <w:sz w:val="22"/>
          <w:szCs w:val="22"/>
        </w:rPr>
        <w:t>identified as HO151 in the Schedule to</w:t>
      </w:r>
      <w:r w:rsidR="00E34083" w:rsidRPr="00E6411A">
        <w:rPr>
          <w:sz w:val="22"/>
          <w:szCs w:val="22"/>
        </w:rPr>
        <w:t xml:space="preserve"> Clause 43.01 </w:t>
      </w:r>
      <w:r w:rsidR="009B04B5">
        <w:rPr>
          <w:sz w:val="22"/>
          <w:szCs w:val="22"/>
        </w:rPr>
        <w:t>–</w:t>
      </w:r>
      <w:r w:rsidR="006D094F" w:rsidRPr="00E6411A">
        <w:rPr>
          <w:sz w:val="22"/>
          <w:szCs w:val="22"/>
        </w:rPr>
        <w:t xml:space="preserve"> </w:t>
      </w:r>
      <w:r w:rsidR="00787A8B" w:rsidRPr="00E6411A">
        <w:rPr>
          <w:sz w:val="22"/>
          <w:szCs w:val="22"/>
        </w:rPr>
        <w:t xml:space="preserve">Heritage Overlay </w:t>
      </w:r>
      <w:r w:rsidR="00C86EA9" w:rsidRPr="00E6411A">
        <w:rPr>
          <w:sz w:val="22"/>
          <w:szCs w:val="22"/>
        </w:rPr>
        <w:t xml:space="preserve">(HO) </w:t>
      </w:r>
      <w:r w:rsidR="00DE52BF" w:rsidRPr="00E6411A">
        <w:rPr>
          <w:sz w:val="22"/>
          <w:szCs w:val="22"/>
        </w:rPr>
        <w:t>of</w:t>
      </w:r>
      <w:r w:rsidR="00787A8B" w:rsidRPr="00E6411A">
        <w:rPr>
          <w:sz w:val="22"/>
          <w:szCs w:val="22"/>
        </w:rPr>
        <w:t xml:space="preserve"> the </w:t>
      </w:r>
      <w:proofErr w:type="spellStart"/>
      <w:r w:rsidR="00787A8B" w:rsidRPr="00E6411A">
        <w:rPr>
          <w:sz w:val="22"/>
          <w:szCs w:val="22"/>
        </w:rPr>
        <w:t>Yarra</w:t>
      </w:r>
      <w:proofErr w:type="spellEnd"/>
      <w:r w:rsidR="00787A8B" w:rsidRPr="00E6411A">
        <w:rPr>
          <w:sz w:val="22"/>
          <w:szCs w:val="22"/>
        </w:rPr>
        <w:t xml:space="preserve"> Planning Scheme</w:t>
      </w:r>
      <w:r w:rsidR="00E34083" w:rsidRPr="00E6411A">
        <w:rPr>
          <w:sz w:val="22"/>
          <w:szCs w:val="22"/>
        </w:rPr>
        <w:t xml:space="preserve"> (‘</w:t>
      </w:r>
      <w:r w:rsidR="00441B2D" w:rsidRPr="00E6411A">
        <w:rPr>
          <w:sz w:val="22"/>
          <w:szCs w:val="22"/>
        </w:rPr>
        <w:t xml:space="preserve">the </w:t>
      </w:r>
      <w:r w:rsidR="00E34083" w:rsidRPr="00E6411A">
        <w:rPr>
          <w:sz w:val="22"/>
          <w:szCs w:val="22"/>
        </w:rPr>
        <w:t>Scheme’)</w:t>
      </w:r>
      <w:r w:rsidR="00EA3E3B">
        <w:rPr>
          <w:sz w:val="22"/>
          <w:szCs w:val="22"/>
        </w:rPr>
        <w:t>.</w:t>
      </w:r>
      <w:r w:rsidR="00981133" w:rsidRPr="00E6411A">
        <w:rPr>
          <w:sz w:val="22"/>
          <w:szCs w:val="22"/>
        </w:rPr>
        <w:t xml:space="preserve"> </w:t>
      </w:r>
      <w:r w:rsidR="00EA3E3B">
        <w:rPr>
          <w:sz w:val="22"/>
          <w:szCs w:val="22"/>
        </w:rPr>
        <w:t xml:space="preserve">That Schedule </w:t>
      </w:r>
      <w:r w:rsidR="00473C68" w:rsidRPr="00E6411A">
        <w:rPr>
          <w:sz w:val="22"/>
          <w:szCs w:val="22"/>
        </w:rPr>
        <w:t>identif</w:t>
      </w:r>
      <w:r w:rsidR="00EA3E3B">
        <w:rPr>
          <w:sz w:val="22"/>
          <w:szCs w:val="22"/>
        </w:rPr>
        <w:t>ies</w:t>
      </w:r>
      <w:r w:rsidR="00473C68" w:rsidRPr="00E6411A">
        <w:rPr>
          <w:sz w:val="22"/>
          <w:szCs w:val="22"/>
        </w:rPr>
        <w:t xml:space="preserve"> that the Place is</w:t>
      </w:r>
      <w:r w:rsidR="00981133" w:rsidRPr="00E6411A">
        <w:rPr>
          <w:sz w:val="22"/>
          <w:szCs w:val="22"/>
        </w:rPr>
        <w:t xml:space="preserve"> included in the Register</w:t>
      </w:r>
      <w:r w:rsidR="00604B5C" w:rsidRPr="00E6411A">
        <w:rPr>
          <w:sz w:val="22"/>
          <w:szCs w:val="22"/>
        </w:rPr>
        <w:t>.</w:t>
      </w:r>
      <w:bookmarkEnd w:id="5"/>
      <w:r w:rsidR="00473C68" w:rsidRPr="00E6411A">
        <w:rPr>
          <w:sz w:val="22"/>
          <w:szCs w:val="22"/>
        </w:rPr>
        <w:t xml:space="preserve"> </w:t>
      </w:r>
      <w:r w:rsidR="006D094F" w:rsidRPr="00E6411A">
        <w:rPr>
          <w:sz w:val="22"/>
          <w:szCs w:val="22"/>
        </w:rPr>
        <w:t xml:space="preserve">Relevantly, </w:t>
      </w:r>
      <w:r w:rsidR="00473C68" w:rsidRPr="00E6411A">
        <w:rPr>
          <w:sz w:val="22"/>
          <w:szCs w:val="22"/>
        </w:rPr>
        <w:t xml:space="preserve">even though the extent of registration of the Place is limited to the building footprint of the Main House and Rear Wing, </w:t>
      </w:r>
      <w:r w:rsidR="00C212EF" w:rsidRPr="00E6411A">
        <w:rPr>
          <w:sz w:val="22"/>
          <w:szCs w:val="22"/>
        </w:rPr>
        <w:t xml:space="preserve">the </w:t>
      </w:r>
      <w:r w:rsidR="00473C68" w:rsidRPr="00E6411A">
        <w:rPr>
          <w:sz w:val="22"/>
          <w:szCs w:val="22"/>
        </w:rPr>
        <w:t xml:space="preserve">mapped extent of HO151 goes beyond the building footprint to include the </w:t>
      </w:r>
      <w:r w:rsidR="00C212EF" w:rsidRPr="00E6411A">
        <w:rPr>
          <w:i/>
          <w:sz w:val="22"/>
          <w:szCs w:val="22"/>
        </w:rPr>
        <w:t>whole</w:t>
      </w:r>
      <w:r w:rsidR="00C212EF" w:rsidRPr="00E6411A">
        <w:rPr>
          <w:sz w:val="22"/>
          <w:szCs w:val="22"/>
        </w:rPr>
        <w:t xml:space="preserve"> of the Subject Site</w:t>
      </w:r>
      <w:r w:rsidR="00473C68" w:rsidRPr="00E6411A">
        <w:rPr>
          <w:sz w:val="22"/>
          <w:szCs w:val="22"/>
        </w:rPr>
        <w:t>.</w:t>
      </w:r>
    </w:p>
    <w:p w14:paraId="37461C8D" w14:textId="1031937F" w:rsidR="00E34083" w:rsidRDefault="00E34083" w:rsidP="00E34083">
      <w:pPr>
        <w:pStyle w:val="BP2"/>
        <w:numPr>
          <w:ilvl w:val="0"/>
          <w:numId w:val="3"/>
        </w:numPr>
        <w:tabs>
          <w:tab w:val="clear" w:pos="432"/>
        </w:tabs>
        <w:ind w:left="567" w:hanging="567"/>
        <w:rPr>
          <w:sz w:val="22"/>
          <w:szCs w:val="22"/>
        </w:rPr>
      </w:pPr>
      <w:r>
        <w:rPr>
          <w:sz w:val="22"/>
          <w:szCs w:val="22"/>
        </w:rPr>
        <w:lastRenderedPageBreak/>
        <w:t xml:space="preserve">Under </w:t>
      </w:r>
      <w:r w:rsidR="00C931E4">
        <w:rPr>
          <w:sz w:val="22"/>
          <w:szCs w:val="22"/>
        </w:rPr>
        <w:t>C</w:t>
      </w:r>
      <w:r>
        <w:rPr>
          <w:sz w:val="22"/>
          <w:szCs w:val="22"/>
        </w:rPr>
        <w:t>lause 43.01-</w:t>
      </w:r>
      <w:r w:rsidR="006D0E0B">
        <w:rPr>
          <w:sz w:val="22"/>
          <w:szCs w:val="22"/>
        </w:rPr>
        <w:t>3</w:t>
      </w:r>
      <w:r>
        <w:rPr>
          <w:sz w:val="22"/>
          <w:szCs w:val="22"/>
        </w:rPr>
        <w:t xml:space="preserve"> of the Scheme, a permit is not required </w:t>
      </w:r>
      <w:r w:rsidR="006D0E0B">
        <w:rPr>
          <w:sz w:val="22"/>
          <w:szCs w:val="22"/>
        </w:rPr>
        <w:t xml:space="preserve">under the HO to develop a heritage place which is included in the Register (other than an application </w:t>
      </w:r>
      <w:r w:rsidR="009B04B5">
        <w:rPr>
          <w:sz w:val="22"/>
          <w:szCs w:val="22"/>
        </w:rPr>
        <w:t>for subdivision</w:t>
      </w:r>
      <w:r w:rsidR="006D0E0B">
        <w:rPr>
          <w:sz w:val="22"/>
          <w:szCs w:val="22"/>
        </w:rPr>
        <w:t>).</w:t>
      </w:r>
    </w:p>
    <w:p w14:paraId="47BE441A" w14:textId="719E78CB" w:rsidR="006D0E0B" w:rsidRDefault="006D0E0B" w:rsidP="00E34083">
      <w:pPr>
        <w:pStyle w:val="BP2"/>
        <w:numPr>
          <w:ilvl w:val="0"/>
          <w:numId w:val="3"/>
        </w:numPr>
        <w:tabs>
          <w:tab w:val="clear" w:pos="432"/>
        </w:tabs>
        <w:ind w:left="567" w:hanging="567"/>
        <w:rPr>
          <w:sz w:val="22"/>
          <w:szCs w:val="22"/>
        </w:rPr>
      </w:pPr>
      <w:r>
        <w:rPr>
          <w:sz w:val="22"/>
          <w:szCs w:val="22"/>
        </w:rPr>
        <w:t xml:space="preserve">In </w:t>
      </w:r>
      <w:r w:rsidR="007F2C7B">
        <w:rPr>
          <w:sz w:val="22"/>
          <w:szCs w:val="22"/>
        </w:rPr>
        <w:t>2017</w:t>
      </w:r>
      <w:r>
        <w:rPr>
          <w:sz w:val="22"/>
          <w:szCs w:val="22"/>
        </w:rPr>
        <w:t xml:space="preserve">, the Permit Applicant applied to </w:t>
      </w:r>
      <w:proofErr w:type="spellStart"/>
      <w:r>
        <w:rPr>
          <w:sz w:val="22"/>
          <w:szCs w:val="22"/>
        </w:rPr>
        <w:t>Yarra</w:t>
      </w:r>
      <w:proofErr w:type="spellEnd"/>
      <w:r>
        <w:rPr>
          <w:sz w:val="22"/>
          <w:szCs w:val="22"/>
        </w:rPr>
        <w:t xml:space="preserve"> for a planning permit to </w:t>
      </w:r>
      <w:r w:rsidR="007F2C7B">
        <w:rPr>
          <w:sz w:val="22"/>
          <w:szCs w:val="22"/>
        </w:rPr>
        <w:t xml:space="preserve">partially demolish the Rear Wing and </w:t>
      </w:r>
      <w:r>
        <w:rPr>
          <w:sz w:val="22"/>
          <w:szCs w:val="22"/>
        </w:rPr>
        <w:t xml:space="preserve">construct an </w:t>
      </w:r>
      <w:r w:rsidR="007F2C7B">
        <w:rPr>
          <w:sz w:val="22"/>
          <w:szCs w:val="22"/>
        </w:rPr>
        <w:t>eight-</w:t>
      </w:r>
      <w:proofErr w:type="spellStart"/>
      <w:r w:rsidR="007F2C7B">
        <w:rPr>
          <w:sz w:val="22"/>
          <w:szCs w:val="22"/>
        </w:rPr>
        <w:t>storey</w:t>
      </w:r>
      <w:proofErr w:type="spellEnd"/>
      <w:r w:rsidR="007F2C7B">
        <w:rPr>
          <w:sz w:val="22"/>
          <w:szCs w:val="22"/>
        </w:rPr>
        <w:t xml:space="preserve"> apartment building at the rear of the Subject Site. </w:t>
      </w:r>
      <w:proofErr w:type="spellStart"/>
      <w:r w:rsidR="00C931E4">
        <w:rPr>
          <w:sz w:val="22"/>
          <w:szCs w:val="22"/>
        </w:rPr>
        <w:t>Yarra</w:t>
      </w:r>
      <w:proofErr w:type="spellEnd"/>
      <w:r w:rsidR="00C931E4">
        <w:rPr>
          <w:sz w:val="22"/>
          <w:szCs w:val="22"/>
        </w:rPr>
        <w:t xml:space="preserve"> assessed the application on the basis that the permit exemption in Clause 43.01-3 in the Scheme applie</w:t>
      </w:r>
      <w:r w:rsidR="00CA5713">
        <w:rPr>
          <w:sz w:val="22"/>
          <w:szCs w:val="22"/>
        </w:rPr>
        <w:t>d</w:t>
      </w:r>
      <w:r w:rsidR="00C931E4">
        <w:rPr>
          <w:sz w:val="22"/>
          <w:szCs w:val="22"/>
        </w:rPr>
        <w:t xml:space="preserve"> </w:t>
      </w:r>
      <w:r w:rsidR="00CC3C29">
        <w:rPr>
          <w:sz w:val="22"/>
          <w:szCs w:val="22"/>
        </w:rPr>
        <w:t xml:space="preserve">to the whole of the Subject Site </w:t>
      </w:r>
      <w:r w:rsidR="00C931E4">
        <w:rPr>
          <w:sz w:val="22"/>
          <w:szCs w:val="22"/>
        </w:rPr>
        <w:t xml:space="preserve">and </w:t>
      </w:r>
      <w:r w:rsidR="00890A6B">
        <w:rPr>
          <w:sz w:val="22"/>
          <w:szCs w:val="22"/>
        </w:rPr>
        <w:t xml:space="preserve">therefore </w:t>
      </w:r>
      <w:r w:rsidR="00C931E4">
        <w:rPr>
          <w:sz w:val="22"/>
          <w:szCs w:val="22"/>
        </w:rPr>
        <w:t xml:space="preserve">matters relating to heritage were not </w:t>
      </w:r>
      <w:r w:rsidR="00AA6FB9">
        <w:rPr>
          <w:sz w:val="22"/>
          <w:szCs w:val="22"/>
        </w:rPr>
        <w:t>addressed in</w:t>
      </w:r>
      <w:r w:rsidR="00C931E4">
        <w:rPr>
          <w:sz w:val="22"/>
          <w:szCs w:val="22"/>
        </w:rPr>
        <w:t xml:space="preserve"> the assessment.</w:t>
      </w:r>
    </w:p>
    <w:p w14:paraId="41D19117" w14:textId="2E20A8AB" w:rsidR="00C931E4" w:rsidRPr="006D0E0B" w:rsidRDefault="00C931E4" w:rsidP="00E34083">
      <w:pPr>
        <w:pStyle w:val="BP2"/>
        <w:numPr>
          <w:ilvl w:val="0"/>
          <w:numId w:val="3"/>
        </w:numPr>
        <w:tabs>
          <w:tab w:val="clear" w:pos="432"/>
        </w:tabs>
        <w:ind w:left="567" w:hanging="567"/>
        <w:rPr>
          <w:sz w:val="22"/>
          <w:szCs w:val="22"/>
        </w:rPr>
      </w:pPr>
      <w:bookmarkStart w:id="6" w:name="_Ref10107401"/>
      <w:r>
        <w:rPr>
          <w:sz w:val="22"/>
          <w:szCs w:val="22"/>
        </w:rPr>
        <w:t xml:space="preserve">On 1 June 2018, </w:t>
      </w:r>
      <w:proofErr w:type="spellStart"/>
      <w:r>
        <w:rPr>
          <w:sz w:val="22"/>
          <w:szCs w:val="22"/>
        </w:rPr>
        <w:t>Yarra</w:t>
      </w:r>
      <w:proofErr w:type="spellEnd"/>
      <w:r>
        <w:rPr>
          <w:sz w:val="22"/>
          <w:szCs w:val="22"/>
        </w:rPr>
        <w:t xml:space="preserve"> issued a planning permit for the development</w:t>
      </w:r>
      <w:r w:rsidR="009B04B5">
        <w:rPr>
          <w:sz w:val="22"/>
          <w:szCs w:val="22"/>
        </w:rPr>
        <w:t xml:space="preserve">, subject to changes, including that the proposed </w:t>
      </w:r>
      <w:r w:rsidR="00890A6B">
        <w:rPr>
          <w:sz w:val="22"/>
          <w:szCs w:val="22"/>
        </w:rPr>
        <w:t xml:space="preserve">apartment building be reduced in height by </w:t>
      </w:r>
      <w:r w:rsidR="00CA5713">
        <w:rPr>
          <w:sz w:val="22"/>
          <w:szCs w:val="22"/>
        </w:rPr>
        <w:t xml:space="preserve">one </w:t>
      </w:r>
      <w:proofErr w:type="spellStart"/>
      <w:r w:rsidR="00CA5713">
        <w:rPr>
          <w:sz w:val="22"/>
          <w:szCs w:val="22"/>
        </w:rPr>
        <w:t>storey</w:t>
      </w:r>
      <w:proofErr w:type="spellEnd"/>
      <w:r w:rsidR="00CA5713">
        <w:rPr>
          <w:sz w:val="22"/>
          <w:szCs w:val="22"/>
        </w:rPr>
        <w:t>.</w:t>
      </w:r>
      <w:bookmarkEnd w:id="6"/>
    </w:p>
    <w:p w14:paraId="37E8BB3B" w14:textId="52EF2966" w:rsidR="007C3FD5" w:rsidRPr="007C3FD5" w:rsidRDefault="0004044B" w:rsidP="007C3FD5">
      <w:pPr>
        <w:pStyle w:val="H4"/>
        <w:spacing w:after="120"/>
        <w:rPr>
          <w:sz w:val="22"/>
        </w:rPr>
      </w:pPr>
      <w:r>
        <w:rPr>
          <w:sz w:val="22"/>
        </w:rPr>
        <w:t>THE PERMIT APPLICATION</w:t>
      </w:r>
    </w:p>
    <w:p w14:paraId="74C5A5E5" w14:textId="5092BEA7" w:rsidR="006D094F" w:rsidRPr="00441B2D" w:rsidRDefault="3AB8B1F8" w:rsidP="00441B2D">
      <w:pPr>
        <w:pStyle w:val="BP2"/>
        <w:numPr>
          <w:ilvl w:val="0"/>
          <w:numId w:val="3"/>
        </w:numPr>
        <w:tabs>
          <w:tab w:val="clear" w:pos="432"/>
          <w:tab w:val="left" w:pos="567"/>
        </w:tabs>
        <w:ind w:left="567" w:hanging="567"/>
        <w:rPr>
          <w:sz w:val="22"/>
          <w:szCs w:val="22"/>
        </w:rPr>
      </w:pPr>
      <w:r w:rsidRPr="3AB8B1F8">
        <w:rPr>
          <w:sz w:val="22"/>
          <w:szCs w:val="22"/>
        </w:rPr>
        <w:t xml:space="preserve">On 22 August 2017, the Permit Applicant made an application to the Executive Director pursuant to section 67 of the </w:t>
      </w:r>
      <w:r w:rsidRPr="3AB8B1F8">
        <w:rPr>
          <w:i/>
          <w:iCs/>
          <w:sz w:val="22"/>
          <w:szCs w:val="22"/>
        </w:rPr>
        <w:t>Heritage Act 1995</w:t>
      </w:r>
      <w:r w:rsidRPr="3AB8B1F8">
        <w:rPr>
          <w:sz w:val="22"/>
          <w:szCs w:val="22"/>
        </w:rPr>
        <w:t xml:space="preserve"> (‘the 1995 Act’) for a permit</w:t>
      </w:r>
      <w:r w:rsidR="00CA5713">
        <w:rPr>
          <w:sz w:val="22"/>
          <w:szCs w:val="22"/>
        </w:rPr>
        <w:t xml:space="preserve"> to</w:t>
      </w:r>
      <w:r w:rsidR="00441B2D">
        <w:rPr>
          <w:sz w:val="22"/>
          <w:szCs w:val="22"/>
        </w:rPr>
        <w:t xml:space="preserve"> undertake demolition works and </w:t>
      </w:r>
      <w:r w:rsidR="00CA5713" w:rsidRPr="00441B2D">
        <w:rPr>
          <w:sz w:val="22"/>
          <w:szCs w:val="22"/>
        </w:rPr>
        <w:t>construct an eight-</w:t>
      </w:r>
      <w:proofErr w:type="spellStart"/>
      <w:r w:rsidR="00CA5713" w:rsidRPr="00441B2D">
        <w:rPr>
          <w:sz w:val="22"/>
          <w:szCs w:val="22"/>
        </w:rPr>
        <w:t>storey</w:t>
      </w:r>
      <w:proofErr w:type="spellEnd"/>
      <w:r w:rsidR="00CA5713" w:rsidRPr="00441B2D">
        <w:rPr>
          <w:sz w:val="22"/>
          <w:szCs w:val="22"/>
        </w:rPr>
        <w:t xml:space="preserve"> apartment building at the rear of the Subject Site</w:t>
      </w:r>
      <w:r w:rsidR="00B84871">
        <w:rPr>
          <w:sz w:val="22"/>
          <w:szCs w:val="22"/>
        </w:rPr>
        <w:t xml:space="preserve"> (‘the Application’)</w:t>
      </w:r>
      <w:r w:rsidR="00CA5713" w:rsidRPr="00441B2D">
        <w:rPr>
          <w:sz w:val="22"/>
          <w:szCs w:val="22"/>
        </w:rPr>
        <w:t>.</w:t>
      </w:r>
    </w:p>
    <w:p w14:paraId="03A5818A" w14:textId="33728EFB" w:rsidR="00CA5713" w:rsidRDefault="00D2646F" w:rsidP="00CA5713">
      <w:pPr>
        <w:pStyle w:val="BP2"/>
        <w:numPr>
          <w:ilvl w:val="0"/>
          <w:numId w:val="3"/>
        </w:numPr>
        <w:tabs>
          <w:tab w:val="clear" w:pos="432"/>
          <w:tab w:val="left" w:pos="567"/>
        </w:tabs>
        <w:ind w:left="567" w:hanging="567"/>
        <w:rPr>
          <w:sz w:val="22"/>
          <w:szCs w:val="22"/>
        </w:rPr>
      </w:pPr>
      <w:r>
        <w:rPr>
          <w:sz w:val="22"/>
          <w:szCs w:val="22"/>
        </w:rPr>
        <w:t>The Permit Applicant now seeks a permit to construct a seven-</w:t>
      </w:r>
      <w:proofErr w:type="spellStart"/>
      <w:r>
        <w:rPr>
          <w:sz w:val="22"/>
          <w:szCs w:val="22"/>
        </w:rPr>
        <w:t>storey</w:t>
      </w:r>
      <w:proofErr w:type="spellEnd"/>
      <w:r>
        <w:rPr>
          <w:sz w:val="22"/>
          <w:szCs w:val="22"/>
        </w:rPr>
        <w:t xml:space="preserve"> apartment building, in </w:t>
      </w:r>
      <w:r w:rsidR="00FE0C9E">
        <w:rPr>
          <w:sz w:val="22"/>
          <w:szCs w:val="22"/>
        </w:rPr>
        <w:t>accordance</w:t>
      </w:r>
      <w:r>
        <w:rPr>
          <w:sz w:val="22"/>
          <w:szCs w:val="22"/>
        </w:rPr>
        <w:t xml:space="preserve"> with the planning permission granted by </w:t>
      </w:r>
      <w:proofErr w:type="spellStart"/>
      <w:r>
        <w:rPr>
          <w:sz w:val="22"/>
          <w:szCs w:val="22"/>
        </w:rPr>
        <w:t>Yarra</w:t>
      </w:r>
      <w:proofErr w:type="spellEnd"/>
      <w:r>
        <w:rPr>
          <w:sz w:val="22"/>
          <w:szCs w:val="22"/>
        </w:rPr>
        <w:t>.</w:t>
      </w:r>
      <w:r w:rsidR="00AA6FB9">
        <w:rPr>
          <w:sz w:val="22"/>
          <w:szCs w:val="22"/>
        </w:rPr>
        <w:t xml:space="preserve"> </w:t>
      </w:r>
      <w:r w:rsidR="000612C6">
        <w:rPr>
          <w:sz w:val="22"/>
          <w:szCs w:val="22"/>
        </w:rPr>
        <w:t>Revised plans based on this planning permission were submitted to the Executive Director</w:t>
      </w:r>
      <w:r w:rsidR="0090678E">
        <w:rPr>
          <w:sz w:val="22"/>
          <w:szCs w:val="22"/>
        </w:rPr>
        <w:t xml:space="preserve"> </w:t>
      </w:r>
      <w:r w:rsidR="000612C6">
        <w:rPr>
          <w:sz w:val="22"/>
          <w:szCs w:val="22"/>
        </w:rPr>
        <w:t>o</w:t>
      </w:r>
      <w:r w:rsidR="00F37284">
        <w:rPr>
          <w:sz w:val="22"/>
          <w:szCs w:val="22"/>
        </w:rPr>
        <w:t>n 10 August 2018</w:t>
      </w:r>
      <w:r w:rsidR="000612C6">
        <w:rPr>
          <w:sz w:val="22"/>
          <w:szCs w:val="22"/>
        </w:rPr>
        <w:t>.</w:t>
      </w:r>
    </w:p>
    <w:p w14:paraId="1795497F" w14:textId="5FA02859" w:rsidR="00FE0C9E" w:rsidRPr="00844234" w:rsidRDefault="00FE0C9E" w:rsidP="00844234">
      <w:pPr>
        <w:pStyle w:val="BP2"/>
        <w:spacing w:before="240" w:after="240"/>
        <w:jc w:val="both"/>
        <w:rPr>
          <w:bCs/>
          <w:i/>
          <w:spacing w:val="-1"/>
          <w:sz w:val="22"/>
          <w:szCs w:val="22"/>
        </w:rPr>
      </w:pPr>
      <w:r w:rsidRPr="00844234">
        <w:rPr>
          <w:bCs/>
          <w:i/>
          <w:spacing w:val="-1"/>
          <w:sz w:val="22"/>
          <w:szCs w:val="22"/>
        </w:rPr>
        <w:t>Proposed demolition</w:t>
      </w:r>
      <w:r w:rsidR="00336A2C" w:rsidRPr="00844234">
        <w:rPr>
          <w:bCs/>
          <w:i/>
          <w:spacing w:val="-1"/>
          <w:sz w:val="22"/>
          <w:szCs w:val="22"/>
        </w:rPr>
        <w:t xml:space="preserve"> works</w:t>
      </w:r>
    </w:p>
    <w:p w14:paraId="69FF1A24" w14:textId="35894D72" w:rsidR="00FE0C9E" w:rsidRDefault="00D2646F" w:rsidP="00CA5713">
      <w:pPr>
        <w:pStyle w:val="BP2"/>
        <w:numPr>
          <w:ilvl w:val="0"/>
          <w:numId w:val="3"/>
        </w:numPr>
        <w:tabs>
          <w:tab w:val="clear" w:pos="432"/>
          <w:tab w:val="left" w:pos="567"/>
        </w:tabs>
        <w:ind w:left="567" w:hanging="567"/>
        <w:rPr>
          <w:sz w:val="22"/>
          <w:szCs w:val="22"/>
        </w:rPr>
      </w:pPr>
      <w:r>
        <w:rPr>
          <w:sz w:val="22"/>
          <w:szCs w:val="22"/>
        </w:rPr>
        <w:t xml:space="preserve">The </w:t>
      </w:r>
      <w:r w:rsidR="00336A2C">
        <w:rPr>
          <w:sz w:val="22"/>
          <w:szCs w:val="22"/>
        </w:rPr>
        <w:t xml:space="preserve">Permit Applicant proposes to demolish the western </w:t>
      </w:r>
      <w:r w:rsidR="00AA6FB9">
        <w:rPr>
          <w:sz w:val="22"/>
          <w:szCs w:val="22"/>
        </w:rPr>
        <w:t xml:space="preserve">end of </w:t>
      </w:r>
      <w:r w:rsidR="00336A2C">
        <w:rPr>
          <w:sz w:val="22"/>
          <w:szCs w:val="22"/>
        </w:rPr>
        <w:t>the Rear Wing</w:t>
      </w:r>
      <w:r w:rsidR="00604B5C">
        <w:rPr>
          <w:sz w:val="22"/>
          <w:szCs w:val="22"/>
        </w:rPr>
        <w:t>,</w:t>
      </w:r>
      <w:r w:rsidR="00AA6FB9">
        <w:rPr>
          <w:sz w:val="22"/>
          <w:szCs w:val="22"/>
        </w:rPr>
        <w:t xml:space="preserve"> </w:t>
      </w:r>
      <w:r w:rsidR="00604B5C">
        <w:rPr>
          <w:sz w:val="22"/>
          <w:szCs w:val="22"/>
        </w:rPr>
        <w:t xml:space="preserve">which </w:t>
      </w:r>
      <w:r w:rsidR="00AA6FB9">
        <w:rPr>
          <w:sz w:val="22"/>
          <w:szCs w:val="22"/>
        </w:rPr>
        <w:t>compris</w:t>
      </w:r>
      <w:r w:rsidR="00604B5C">
        <w:rPr>
          <w:sz w:val="22"/>
          <w:szCs w:val="22"/>
        </w:rPr>
        <w:t>es</w:t>
      </w:r>
      <w:r w:rsidR="00AA6FB9">
        <w:rPr>
          <w:sz w:val="22"/>
          <w:szCs w:val="22"/>
        </w:rPr>
        <w:t xml:space="preserve"> approximately half its length</w:t>
      </w:r>
      <w:r w:rsidR="00604B5C">
        <w:rPr>
          <w:sz w:val="22"/>
          <w:szCs w:val="22"/>
        </w:rPr>
        <w:t>,</w:t>
      </w:r>
      <w:r w:rsidR="00AA6FB9">
        <w:rPr>
          <w:sz w:val="22"/>
          <w:szCs w:val="22"/>
        </w:rPr>
        <w:t xml:space="preserve"> </w:t>
      </w:r>
      <w:r w:rsidR="00336A2C">
        <w:rPr>
          <w:sz w:val="22"/>
          <w:szCs w:val="22"/>
        </w:rPr>
        <w:t xml:space="preserve">including </w:t>
      </w:r>
      <w:r w:rsidR="004374A0">
        <w:rPr>
          <w:sz w:val="22"/>
          <w:szCs w:val="22"/>
        </w:rPr>
        <w:t>the</w:t>
      </w:r>
      <w:r w:rsidR="00336A2C">
        <w:rPr>
          <w:sz w:val="22"/>
          <w:szCs w:val="22"/>
        </w:rPr>
        <w:t xml:space="preserve"> roof and </w:t>
      </w:r>
      <w:r w:rsidR="00AA6FB9">
        <w:rPr>
          <w:sz w:val="22"/>
          <w:szCs w:val="22"/>
        </w:rPr>
        <w:t>one</w:t>
      </w:r>
      <w:r w:rsidR="00336A2C">
        <w:rPr>
          <w:sz w:val="22"/>
          <w:szCs w:val="22"/>
        </w:rPr>
        <w:t xml:space="preserve"> </w:t>
      </w:r>
      <w:r w:rsidR="009B04B5">
        <w:rPr>
          <w:sz w:val="22"/>
          <w:szCs w:val="22"/>
        </w:rPr>
        <w:t xml:space="preserve">of its two existing </w:t>
      </w:r>
      <w:r w:rsidR="00336A2C">
        <w:rPr>
          <w:sz w:val="22"/>
          <w:szCs w:val="22"/>
        </w:rPr>
        <w:t>chimney</w:t>
      </w:r>
      <w:r w:rsidR="009B04B5">
        <w:rPr>
          <w:sz w:val="22"/>
          <w:szCs w:val="22"/>
        </w:rPr>
        <w:t>s</w:t>
      </w:r>
      <w:r w:rsidR="00336A2C">
        <w:rPr>
          <w:sz w:val="22"/>
          <w:szCs w:val="22"/>
        </w:rPr>
        <w:t>. The northern boundary wall of the Rear Wing, and the ground floor and first floor west</w:t>
      </w:r>
      <w:r w:rsidR="00924D4F">
        <w:rPr>
          <w:sz w:val="22"/>
          <w:szCs w:val="22"/>
        </w:rPr>
        <w:t>-</w:t>
      </w:r>
      <w:r w:rsidR="00336A2C">
        <w:rPr>
          <w:sz w:val="22"/>
          <w:szCs w:val="22"/>
        </w:rPr>
        <w:t xml:space="preserve">facing chimney breasts within the Rear Wing, </w:t>
      </w:r>
      <w:r w:rsidR="00441B2D">
        <w:rPr>
          <w:sz w:val="22"/>
          <w:szCs w:val="22"/>
        </w:rPr>
        <w:t>are to</w:t>
      </w:r>
      <w:r w:rsidR="00336A2C">
        <w:rPr>
          <w:sz w:val="22"/>
          <w:szCs w:val="22"/>
        </w:rPr>
        <w:t xml:space="preserve"> be retained.</w:t>
      </w:r>
    </w:p>
    <w:p w14:paraId="073F1F67" w14:textId="42B3E962" w:rsidR="004374A0" w:rsidRDefault="00B53EB1" w:rsidP="004374A0">
      <w:pPr>
        <w:pStyle w:val="BP2"/>
        <w:numPr>
          <w:ilvl w:val="0"/>
          <w:numId w:val="3"/>
        </w:numPr>
        <w:tabs>
          <w:tab w:val="clear" w:pos="432"/>
          <w:tab w:val="left" w:pos="567"/>
        </w:tabs>
        <w:ind w:left="567" w:hanging="567"/>
        <w:rPr>
          <w:sz w:val="22"/>
          <w:szCs w:val="22"/>
        </w:rPr>
      </w:pPr>
      <w:r>
        <w:rPr>
          <w:sz w:val="22"/>
          <w:szCs w:val="22"/>
        </w:rPr>
        <w:t>The demolition works also include removing e</w:t>
      </w:r>
      <w:r w:rsidR="003C7C33">
        <w:rPr>
          <w:sz w:val="22"/>
          <w:szCs w:val="22"/>
        </w:rPr>
        <w:t xml:space="preserve">xisting </w:t>
      </w:r>
      <w:r w:rsidR="00441B2D">
        <w:rPr>
          <w:sz w:val="22"/>
          <w:szCs w:val="22"/>
        </w:rPr>
        <w:t xml:space="preserve">internal </w:t>
      </w:r>
      <w:r w:rsidR="003C7C33">
        <w:rPr>
          <w:sz w:val="22"/>
          <w:szCs w:val="22"/>
        </w:rPr>
        <w:t xml:space="preserve">partitioning </w:t>
      </w:r>
      <w:r w:rsidR="00441B2D">
        <w:rPr>
          <w:sz w:val="22"/>
          <w:szCs w:val="22"/>
        </w:rPr>
        <w:t>with</w:t>
      </w:r>
      <w:r w:rsidR="003C7C33">
        <w:rPr>
          <w:sz w:val="22"/>
          <w:szCs w:val="22"/>
        </w:rPr>
        <w:t xml:space="preserve">in the Rear Wing and </w:t>
      </w:r>
      <w:r w:rsidR="00C00428">
        <w:rPr>
          <w:sz w:val="22"/>
          <w:szCs w:val="22"/>
        </w:rPr>
        <w:t xml:space="preserve">ground </w:t>
      </w:r>
      <w:r w:rsidR="00441B2D">
        <w:rPr>
          <w:sz w:val="22"/>
          <w:szCs w:val="22"/>
        </w:rPr>
        <w:t xml:space="preserve">floor </w:t>
      </w:r>
      <w:r w:rsidR="00C00428">
        <w:rPr>
          <w:sz w:val="22"/>
          <w:szCs w:val="22"/>
        </w:rPr>
        <w:t xml:space="preserve">of the </w:t>
      </w:r>
      <w:r w:rsidR="003C7C33">
        <w:rPr>
          <w:sz w:val="22"/>
          <w:szCs w:val="22"/>
        </w:rPr>
        <w:t>Main House</w:t>
      </w:r>
      <w:r>
        <w:rPr>
          <w:sz w:val="22"/>
          <w:szCs w:val="22"/>
        </w:rPr>
        <w:t xml:space="preserve">, and demolition of the </w:t>
      </w:r>
      <w:r w:rsidR="003C7C33">
        <w:rPr>
          <w:sz w:val="22"/>
          <w:szCs w:val="22"/>
        </w:rPr>
        <w:t>Addition.</w:t>
      </w:r>
    </w:p>
    <w:p w14:paraId="3493AA15" w14:textId="1BA46D3D" w:rsidR="004374A0" w:rsidRPr="00844234" w:rsidRDefault="004374A0" w:rsidP="00844234">
      <w:pPr>
        <w:pStyle w:val="BP2"/>
        <w:spacing w:before="240" w:after="240"/>
        <w:jc w:val="both"/>
        <w:rPr>
          <w:bCs/>
          <w:i/>
          <w:spacing w:val="-1"/>
          <w:sz w:val="22"/>
          <w:szCs w:val="22"/>
        </w:rPr>
      </w:pPr>
      <w:r w:rsidRPr="00844234">
        <w:rPr>
          <w:bCs/>
          <w:i/>
          <w:spacing w:val="-1"/>
          <w:sz w:val="22"/>
          <w:szCs w:val="22"/>
        </w:rPr>
        <w:t>Proposed new works</w:t>
      </w:r>
    </w:p>
    <w:p w14:paraId="66DD1F48" w14:textId="6F6CEFBE" w:rsidR="004374A0" w:rsidRDefault="004374A0" w:rsidP="00CA5713">
      <w:pPr>
        <w:pStyle w:val="BP2"/>
        <w:numPr>
          <w:ilvl w:val="0"/>
          <w:numId w:val="3"/>
        </w:numPr>
        <w:tabs>
          <w:tab w:val="clear" w:pos="432"/>
          <w:tab w:val="left" w:pos="567"/>
        </w:tabs>
        <w:ind w:left="567" w:hanging="567"/>
        <w:rPr>
          <w:sz w:val="22"/>
          <w:szCs w:val="22"/>
        </w:rPr>
      </w:pPr>
      <w:bookmarkStart w:id="7" w:name="_Ref10196546"/>
      <w:r>
        <w:rPr>
          <w:sz w:val="22"/>
          <w:szCs w:val="22"/>
        </w:rPr>
        <w:t>New work</w:t>
      </w:r>
      <w:r w:rsidR="00BC1F75">
        <w:rPr>
          <w:sz w:val="22"/>
          <w:szCs w:val="22"/>
        </w:rPr>
        <w:t>s</w:t>
      </w:r>
      <w:r w:rsidR="00B53EB1">
        <w:rPr>
          <w:sz w:val="22"/>
          <w:szCs w:val="22"/>
        </w:rPr>
        <w:t xml:space="preserve"> </w:t>
      </w:r>
      <w:r>
        <w:rPr>
          <w:sz w:val="22"/>
          <w:szCs w:val="22"/>
        </w:rPr>
        <w:t xml:space="preserve">to the Main House </w:t>
      </w:r>
      <w:proofErr w:type="gramStart"/>
      <w:r w:rsidR="00244550">
        <w:rPr>
          <w:sz w:val="22"/>
          <w:szCs w:val="22"/>
        </w:rPr>
        <w:t>include</w:t>
      </w:r>
      <w:proofErr w:type="gramEnd"/>
      <w:r>
        <w:rPr>
          <w:sz w:val="22"/>
          <w:szCs w:val="22"/>
        </w:rPr>
        <w:t xml:space="preserve"> </w:t>
      </w:r>
      <w:r w:rsidR="00B53EB1">
        <w:rPr>
          <w:sz w:val="22"/>
          <w:szCs w:val="22"/>
        </w:rPr>
        <w:t xml:space="preserve">the construction of </w:t>
      </w:r>
      <w:r w:rsidR="00924D4F">
        <w:rPr>
          <w:sz w:val="22"/>
          <w:szCs w:val="22"/>
        </w:rPr>
        <w:t>new internal partitioning</w:t>
      </w:r>
      <w:r w:rsidR="00673B03">
        <w:rPr>
          <w:sz w:val="22"/>
          <w:szCs w:val="22"/>
        </w:rPr>
        <w:t>,</w:t>
      </w:r>
      <w:r w:rsidR="00924D4F">
        <w:rPr>
          <w:sz w:val="22"/>
          <w:szCs w:val="22"/>
        </w:rPr>
        <w:t xml:space="preserve"> refurbishment </w:t>
      </w:r>
      <w:r>
        <w:rPr>
          <w:sz w:val="22"/>
          <w:szCs w:val="22"/>
        </w:rPr>
        <w:t xml:space="preserve">of the ground floor </w:t>
      </w:r>
      <w:r w:rsidR="00C00428">
        <w:rPr>
          <w:sz w:val="22"/>
          <w:szCs w:val="22"/>
        </w:rPr>
        <w:t xml:space="preserve">and widening of the existing </w:t>
      </w:r>
      <w:r w:rsidR="00180ED4">
        <w:rPr>
          <w:sz w:val="22"/>
          <w:szCs w:val="22"/>
        </w:rPr>
        <w:t xml:space="preserve">ground-level </w:t>
      </w:r>
      <w:r w:rsidR="00C00428">
        <w:rPr>
          <w:sz w:val="22"/>
          <w:szCs w:val="22"/>
        </w:rPr>
        <w:t xml:space="preserve">opening in </w:t>
      </w:r>
      <w:r w:rsidR="0060536B">
        <w:rPr>
          <w:sz w:val="22"/>
          <w:szCs w:val="22"/>
        </w:rPr>
        <w:t>its</w:t>
      </w:r>
      <w:r w:rsidR="00C00428">
        <w:rPr>
          <w:sz w:val="22"/>
          <w:szCs w:val="22"/>
        </w:rPr>
        <w:t xml:space="preserve"> western elevation to provide access to the proposed apartment building lobby</w:t>
      </w:r>
      <w:r w:rsidR="00AA6FB9">
        <w:rPr>
          <w:sz w:val="22"/>
          <w:szCs w:val="22"/>
        </w:rPr>
        <w:t>.</w:t>
      </w:r>
      <w:bookmarkEnd w:id="7"/>
    </w:p>
    <w:p w14:paraId="2DA3F6FB" w14:textId="2302FF2D" w:rsidR="004374A0" w:rsidRDefault="004374A0" w:rsidP="00CA5713">
      <w:pPr>
        <w:pStyle w:val="BP2"/>
        <w:numPr>
          <w:ilvl w:val="0"/>
          <w:numId w:val="3"/>
        </w:numPr>
        <w:tabs>
          <w:tab w:val="clear" w:pos="432"/>
          <w:tab w:val="left" w:pos="567"/>
        </w:tabs>
        <w:ind w:left="567" w:hanging="567"/>
        <w:rPr>
          <w:sz w:val="22"/>
          <w:szCs w:val="22"/>
        </w:rPr>
      </w:pPr>
      <w:bookmarkStart w:id="8" w:name="_Ref10196567"/>
      <w:r>
        <w:rPr>
          <w:sz w:val="22"/>
          <w:szCs w:val="22"/>
        </w:rPr>
        <w:t>New work</w:t>
      </w:r>
      <w:r w:rsidR="00BC1F75">
        <w:rPr>
          <w:sz w:val="22"/>
          <w:szCs w:val="22"/>
        </w:rPr>
        <w:t>s</w:t>
      </w:r>
      <w:r>
        <w:rPr>
          <w:sz w:val="22"/>
          <w:szCs w:val="22"/>
        </w:rPr>
        <w:t xml:space="preserve"> to the re</w:t>
      </w:r>
      <w:r w:rsidR="00630117">
        <w:rPr>
          <w:sz w:val="22"/>
          <w:szCs w:val="22"/>
        </w:rPr>
        <w:t>tained</w:t>
      </w:r>
      <w:r>
        <w:rPr>
          <w:sz w:val="22"/>
          <w:szCs w:val="22"/>
        </w:rPr>
        <w:t xml:space="preserve"> portion of the Rear Wing include</w:t>
      </w:r>
      <w:r w:rsidR="00C00428">
        <w:rPr>
          <w:sz w:val="22"/>
          <w:szCs w:val="22"/>
        </w:rPr>
        <w:t xml:space="preserve"> </w:t>
      </w:r>
      <w:r w:rsidR="00630117">
        <w:rPr>
          <w:sz w:val="22"/>
          <w:szCs w:val="22"/>
        </w:rPr>
        <w:t xml:space="preserve">a </w:t>
      </w:r>
      <w:r>
        <w:rPr>
          <w:sz w:val="22"/>
          <w:szCs w:val="22"/>
        </w:rPr>
        <w:t>new opening</w:t>
      </w:r>
      <w:r w:rsidR="00630117">
        <w:rPr>
          <w:sz w:val="22"/>
          <w:szCs w:val="22"/>
        </w:rPr>
        <w:t xml:space="preserve"> on the north side of the </w:t>
      </w:r>
      <w:r w:rsidR="00924D4F">
        <w:rPr>
          <w:sz w:val="22"/>
          <w:szCs w:val="22"/>
        </w:rPr>
        <w:t xml:space="preserve">ground floor </w:t>
      </w:r>
      <w:r w:rsidR="00630117">
        <w:rPr>
          <w:sz w:val="22"/>
          <w:szCs w:val="22"/>
        </w:rPr>
        <w:t xml:space="preserve">fireplace (to connect to a path leading to the rear laneway), a new opening on the south side of the first floor </w:t>
      </w:r>
      <w:r w:rsidR="00924D4F">
        <w:rPr>
          <w:sz w:val="22"/>
          <w:szCs w:val="22"/>
        </w:rPr>
        <w:t>fireplace</w:t>
      </w:r>
      <w:r w:rsidR="00630117">
        <w:rPr>
          <w:sz w:val="22"/>
          <w:szCs w:val="22"/>
        </w:rPr>
        <w:t xml:space="preserve"> (to connect to </w:t>
      </w:r>
      <w:r w:rsidR="00E0491A">
        <w:rPr>
          <w:sz w:val="22"/>
          <w:szCs w:val="22"/>
        </w:rPr>
        <w:t>a</w:t>
      </w:r>
      <w:r w:rsidR="00630117">
        <w:rPr>
          <w:sz w:val="22"/>
          <w:szCs w:val="22"/>
        </w:rPr>
        <w:t xml:space="preserve"> </w:t>
      </w:r>
      <w:r w:rsidR="00E0491A">
        <w:rPr>
          <w:sz w:val="22"/>
          <w:szCs w:val="22"/>
        </w:rPr>
        <w:t xml:space="preserve">new </w:t>
      </w:r>
      <w:r w:rsidR="00630117">
        <w:rPr>
          <w:sz w:val="22"/>
          <w:szCs w:val="22"/>
        </w:rPr>
        <w:t xml:space="preserve">first </w:t>
      </w:r>
      <w:r w:rsidR="00E0491A">
        <w:rPr>
          <w:sz w:val="22"/>
          <w:szCs w:val="22"/>
        </w:rPr>
        <w:t>floor terrace)</w:t>
      </w:r>
      <w:r w:rsidR="00C00428">
        <w:rPr>
          <w:sz w:val="22"/>
          <w:szCs w:val="22"/>
        </w:rPr>
        <w:t xml:space="preserve">, </w:t>
      </w:r>
      <w:r w:rsidR="00E0491A">
        <w:rPr>
          <w:sz w:val="22"/>
          <w:szCs w:val="22"/>
        </w:rPr>
        <w:t xml:space="preserve">and </w:t>
      </w:r>
      <w:r w:rsidR="00630117">
        <w:rPr>
          <w:sz w:val="22"/>
          <w:szCs w:val="22"/>
        </w:rPr>
        <w:t xml:space="preserve">partitioning </w:t>
      </w:r>
      <w:r w:rsidR="00DE52BF">
        <w:rPr>
          <w:sz w:val="22"/>
          <w:szCs w:val="22"/>
        </w:rPr>
        <w:t>and other internal works to the</w:t>
      </w:r>
      <w:r w:rsidR="00630117">
        <w:rPr>
          <w:sz w:val="22"/>
          <w:szCs w:val="22"/>
        </w:rPr>
        <w:t xml:space="preserve"> ground floor level </w:t>
      </w:r>
      <w:r w:rsidR="00DE52BF">
        <w:rPr>
          <w:sz w:val="22"/>
          <w:szCs w:val="22"/>
        </w:rPr>
        <w:t>to create</w:t>
      </w:r>
      <w:r w:rsidR="00630117">
        <w:rPr>
          <w:sz w:val="22"/>
          <w:szCs w:val="22"/>
        </w:rPr>
        <w:t xml:space="preserve"> bicycle and bin storage</w:t>
      </w:r>
      <w:r w:rsidR="00DE52BF">
        <w:rPr>
          <w:sz w:val="22"/>
          <w:szCs w:val="22"/>
        </w:rPr>
        <w:t xml:space="preserve"> areas</w:t>
      </w:r>
      <w:r w:rsidR="00E0491A">
        <w:rPr>
          <w:sz w:val="22"/>
          <w:szCs w:val="22"/>
        </w:rPr>
        <w:t>.</w:t>
      </w:r>
      <w:bookmarkEnd w:id="8"/>
    </w:p>
    <w:p w14:paraId="0AF26683" w14:textId="1B66942E" w:rsidR="00E0491A" w:rsidRPr="00E0491A" w:rsidRDefault="00E0491A" w:rsidP="00CA5713">
      <w:pPr>
        <w:pStyle w:val="BP2"/>
        <w:numPr>
          <w:ilvl w:val="0"/>
          <w:numId w:val="3"/>
        </w:numPr>
        <w:tabs>
          <w:tab w:val="clear" w:pos="432"/>
          <w:tab w:val="left" w:pos="567"/>
        </w:tabs>
        <w:ind w:left="567" w:hanging="567"/>
        <w:rPr>
          <w:sz w:val="22"/>
          <w:szCs w:val="22"/>
        </w:rPr>
      </w:pPr>
      <w:r>
        <w:rPr>
          <w:sz w:val="22"/>
          <w:szCs w:val="22"/>
        </w:rPr>
        <w:t xml:space="preserve">The most significant new works relate to the </w:t>
      </w:r>
      <w:r w:rsidR="00244550">
        <w:rPr>
          <w:sz w:val="22"/>
          <w:szCs w:val="22"/>
        </w:rPr>
        <w:t xml:space="preserve">construction of </w:t>
      </w:r>
      <w:r w:rsidR="00BC1F75">
        <w:rPr>
          <w:sz w:val="22"/>
          <w:szCs w:val="22"/>
        </w:rPr>
        <w:t>the</w:t>
      </w:r>
      <w:r w:rsidR="00244550">
        <w:rPr>
          <w:sz w:val="22"/>
          <w:szCs w:val="22"/>
        </w:rPr>
        <w:t xml:space="preserve"> </w:t>
      </w:r>
      <w:r w:rsidR="0060536B">
        <w:rPr>
          <w:sz w:val="22"/>
          <w:szCs w:val="22"/>
        </w:rPr>
        <w:t xml:space="preserve">proposed </w:t>
      </w:r>
      <w:r>
        <w:rPr>
          <w:sz w:val="22"/>
          <w:szCs w:val="22"/>
        </w:rPr>
        <w:t xml:space="preserve">apartment building, which is described in </w:t>
      </w:r>
      <w:proofErr w:type="spellStart"/>
      <w:r>
        <w:rPr>
          <w:sz w:val="22"/>
          <w:szCs w:val="22"/>
        </w:rPr>
        <w:t>Mr</w:t>
      </w:r>
      <w:proofErr w:type="spellEnd"/>
      <w:r>
        <w:rPr>
          <w:sz w:val="22"/>
          <w:szCs w:val="22"/>
        </w:rPr>
        <w:t xml:space="preserve"> </w:t>
      </w:r>
      <w:proofErr w:type="spellStart"/>
      <w:r>
        <w:rPr>
          <w:sz w:val="22"/>
          <w:szCs w:val="22"/>
        </w:rPr>
        <w:t>Raworth’s</w:t>
      </w:r>
      <w:proofErr w:type="spellEnd"/>
      <w:r>
        <w:rPr>
          <w:sz w:val="22"/>
          <w:szCs w:val="22"/>
        </w:rPr>
        <w:t xml:space="preserve"> </w:t>
      </w:r>
      <w:r>
        <w:rPr>
          <w:sz w:val="22"/>
        </w:rPr>
        <w:t>expert witness statement as follows:</w:t>
      </w:r>
      <w:r>
        <w:rPr>
          <w:rStyle w:val="FootnoteReference"/>
          <w:sz w:val="22"/>
        </w:rPr>
        <w:footnoteReference w:id="3"/>
      </w:r>
    </w:p>
    <w:p w14:paraId="6C2BEDF5" w14:textId="5A0E884C" w:rsidR="00E0491A" w:rsidRPr="0002221D" w:rsidRDefault="00E0491A" w:rsidP="00E0491A">
      <w:pPr>
        <w:pStyle w:val="BP2"/>
        <w:tabs>
          <w:tab w:val="clear" w:pos="432"/>
          <w:tab w:val="left" w:pos="851"/>
        </w:tabs>
        <w:ind w:left="851"/>
        <w:rPr>
          <w:i/>
          <w:sz w:val="22"/>
          <w:szCs w:val="22"/>
        </w:rPr>
      </w:pPr>
      <w:r w:rsidRPr="0002221D">
        <w:rPr>
          <w:i/>
          <w:sz w:val="22"/>
          <w:szCs w:val="22"/>
        </w:rPr>
        <w:lastRenderedPageBreak/>
        <w:t xml:space="preserve">The new addition or apartment development will be seven </w:t>
      </w:r>
      <w:proofErr w:type="spellStart"/>
      <w:r w:rsidRPr="0002221D">
        <w:rPr>
          <w:i/>
          <w:sz w:val="22"/>
          <w:szCs w:val="22"/>
        </w:rPr>
        <w:t>storeys</w:t>
      </w:r>
      <w:proofErr w:type="spellEnd"/>
      <w:r w:rsidRPr="0002221D">
        <w:rPr>
          <w:i/>
          <w:sz w:val="22"/>
          <w:szCs w:val="22"/>
        </w:rPr>
        <w:t xml:space="preserve"> in scale. In plan, it will span the site at ground </w:t>
      </w:r>
      <w:r w:rsidR="0002221D" w:rsidRPr="0002221D">
        <w:rPr>
          <w:i/>
          <w:sz w:val="22"/>
          <w:szCs w:val="22"/>
        </w:rPr>
        <w:t>floor behind the retained dwelling, abutting each property boundary. A garage adjacent to the laneway will provide parking for 8 cars by means of a car stacker. A secondary pedestrian entrance from the lane will run along the north side of the rear part of the site, providing access to a new internal lobby space, lift, stair and storage spaces in the retained eastern portion of the rear wing.</w:t>
      </w:r>
    </w:p>
    <w:p w14:paraId="7A8FB9C0" w14:textId="2BAB1312" w:rsidR="0002221D" w:rsidRDefault="0002221D" w:rsidP="00E0491A">
      <w:pPr>
        <w:pStyle w:val="BP2"/>
        <w:tabs>
          <w:tab w:val="clear" w:pos="432"/>
          <w:tab w:val="left" w:pos="851"/>
        </w:tabs>
        <w:ind w:left="851"/>
        <w:rPr>
          <w:i/>
          <w:sz w:val="22"/>
          <w:szCs w:val="22"/>
        </w:rPr>
      </w:pPr>
      <w:r w:rsidRPr="0002221D">
        <w:rPr>
          <w:i/>
          <w:sz w:val="22"/>
          <w:szCs w:val="22"/>
        </w:rPr>
        <w:t xml:space="preserve">The area occupied by </w:t>
      </w:r>
      <w:r>
        <w:rPr>
          <w:i/>
          <w:sz w:val="22"/>
          <w:szCs w:val="22"/>
        </w:rPr>
        <w:t xml:space="preserve">the demolished west end of the rear wing will contain an outdoor terrace on its north side at Level 1, and the stairwell to the </w:t>
      </w:r>
      <w:r w:rsidR="00180ED4">
        <w:rPr>
          <w:i/>
          <w:sz w:val="22"/>
          <w:szCs w:val="22"/>
        </w:rPr>
        <w:t xml:space="preserve">new </w:t>
      </w:r>
      <w:r>
        <w:rPr>
          <w:i/>
          <w:sz w:val="22"/>
          <w:szCs w:val="22"/>
        </w:rPr>
        <w:t>multi-</w:t>
      </w:r>
      <w:proofErr w:type="spellStart"/>
      <w:r>
        <w:rPr>
          <w:i/>
          <w:sz w:val="22"/>
          <w:szCs w:val="22"/>
        </w:rPr>
        <w:t>storey</w:t>
      </w:r>
      <w:proofErr w:type="spellEnd"/>
      <w:r>
        <w:rPr>
          <w:i/>
          <w:sz w:val="22"/>
          <w:szCs w:val="22"/>
        </w:rPr>
        <w:t xml:space="preserve"> </w:t>
      </w:r>
      <w:r w:rsidR="00180ED4">
        <w:rPr>
          <w:i/>
          <w:sz w:val="22"/>
          <w:szCs w:val="22"/>
        </w:rPr>
        <w:t xml:space="preserve">addition building </w:t>
      </w:r>
      <w:r>
        <w:rPr>
          <w:i/>
          <w:sz w:val="22"/>
          <w:szCs w:val="22"/>
        </w:rPr>
        <w:t xml:space="preserve">envelope on </w:t>
      </w:r>
      <w:r w:rsidR="00180ED4">
        <w:rPr>
          <w:i/>
          <w:sz w:val="22"/>
          <w:szCs w:val="22"/>
        </w:rPr>
        <w:t>its south side. Levels 1 to 6 of the new multi-</w:t>
      </w:r>
      <w:proofErr w:type="spellStart"/>
      <w:r w:rsidR="00180ED4">
        <w:rPr>
          <w:i/>
          <w:sz w:val="22"/>
          <w:szCs w:val="22"/>
        </w:rPr>
        <w:t>storey</w:t>
      </w:r>
      <w:proofErr w:type="spellEnd"/>
      <w:r w:rsidR="00180ED4">
        <w:rPr>
          <w:i/>
          <w:sz w:val="22"/>
          <w:szCs w:val="22"/>
        </w:rPr>
        <w:t xml:space="preserve"> envelope on </w:t>
      </w:r>
      <w:r>
        <w:rPr>
          <w:i/>
          <w:sz w:val="22"/>
          <w:szCs w:val="22"/>
        </w:rPr>
        <w:t xml:space="preserve">the west side of the site will each contain a </w:t>
      </w:r>
      <w:proofErr w:type="gramStart"/>
      <w:r>
        <w:rPr>
          <w:i/>
          <w:sz w:val="22"/>
          <w:szCs w:val="22"/>
        </w:rPr>
        <w:t>two bedroom</w:t>
      </w:r>
      <w:proofErr w:type="gramEnd"/>
      <w:r>
        <w:rPr>
          <w:i/>
          <w:sz w:val="22"/>
          <w:szCs w:val="22"/>
        </w:rPr>
        <w:t xml:space="preserve"> apartment. On each floor a balcony will partially project</w:t>
      </w:r>
      <w:r w:rsidR="00247117">
        <w:rPr>
          <w:i/>
          <w:sz w:val="22"/>
          <w:szCs w:val="22"/>
        </w:rPr>
        <w:t xml:space="preserve"> over the new terrace at Level 1 in the lo</w:t>
      </w:r>
      <w:r w:rsidR="00BF06B4">
        <w:rPr>
          <w:i/>
          <w:sz w:val="22"/>
          <w:szCs w:val="22"/>
        </w:rPr>
        <w:t>cation of the demolished rear wing</w:t>
      </w:r>
      <w:r w:rsidR="00B64FF1">
        <w:rPr>
          <w:i/>
          <w:sz w:val="22"/>
          <w:szCs w:val="22"/>
        </w:rPr>
        <w:t>.</w:t>
      </w:r>
    </w:p>
    <w:p w14:paraId="30D56466" w14:textId="5878F4B4" w:rsidR="00B64FF1" w:rsidRDefault="00B64FF1" w:rsidP="00E0491A">
      <w:pPr>
        <w:pStyle w:val="BP2"/>
        <w:tabs>
          <w:tab w:val="clear" w:pos="432"/>
          <w:tab w:val="left" w:pos="851"/>
        </w:tabs>
        <w:ind w:left="851"/>
        <w:rPr>
          <w:i/>
          <w:sz w:val="22"/>
          <w:szCs w:val="22"/>
        </w:rPr>
      </w:pPr>
      <w:r>
        <w:rPr>
          <w:i/>
          <w:sz w:val="22"/>
          <w:szCs w:val="22"/>
        </w:rPr>
        <w:t xml:space="preserve">The new addition will not directly </w:t>
      </w:r>
      <w:proofErr w:type="spellStart"/>
      <w:r>
        <w:rPr>
          <w:i/>
          <w:sz w:val="22"/>
          <w:szCs w:val="22"/>
        </w:rPr>
        <w:t>abut</w:t>
      </w:r>
      <w:proofErr w:type="spellEnd"/>
      <w:r>
        <w:rPr>
          <w:i/>
          <w:sz w:val="22"/>
          <w:szCs w:val="22"/>
        </w:rPr>
        <w:t xml:space="preserve"> the retained portion of the rear wing at Level 1 – the new building volume will set back from the west end of the retained portion of the rear wing of </w:t>
      </w:r>
      <w:proofErr w:type="spellStart"/>
      <w:r>
        <w:rPr>
          <w:i/>
          <w:sz w:val="22"/>
          <w:szCs w:val="22"/>
        </w:rPr>
        <w:t>Arbirlot</w:t>
      </w:r>
      <w:proofErr w:type="spellEnd"/>
      <w:r>
        <w:rPr>
          <w:i/>
          <w:sz w:val="22"/>
          <w:szCs w:val="22"/>
        </w:rPr>
        <w:t>. At the north west corner of the site, the addition will be indented to accommodate a small balcony overlooking the lane. Levels 2-5 will essentially be the same, including an additional indented balcony in both north west and north east corners of each level. The roof will have a sawtooth profile.</w:t>
      </w:r>
    </w:p>
    <w:p w14:paraId="33508399" w14:textId="0439AB72" w:rsidR="00B64FF1" w:rsidRDefault="00B64FF1" w:rsidP="00E0491A">
      <w:pPr>
        <w:pStyle w:val="BP2"/>
        <w:tabs>
          <w:tab w:val="clear" w:pos="432"/>
          <w:tab w:val="left" w:pos="851"/>
        </w:tabs>
        <w:ind w:left="851"/>
        <w:rPr>
          <w:i/>
          <w:sz w:val="22"/>
          <w:szCs w:val="22"/>
        </w:rPr>
      </w:pPr>
      <w:r>
        <w:rPr>
          <w:i/>
          <w:sz w:val="22"/>
          <w:szCs w:val="22"/>
        </w:rPr>
        <w:t>…</w:t>
      </w:r>
    </w:p>
    <w:p w14:paraId="2BB27E04" w14:textId="53BF4DE2" w:rsidR="00CA5713" w:rsidRPr="00180ED4" w:rsidRDefault="00B64FF1" w:rsidP="00180ED4">
      <w:pPr>
        <w:pStyle w:val="BP2"/>
        <w:tabs>
          <w:tab w:val="clear" w:pos="432"/>
          <w:tab w:val="left" w:pos="851"/>
        </w:tabs>
        <w:ind w:left="851"/>
        <w:rPr>
          <w:i/>
          <w:sz w:val="22"/>
          <w:szCs w:val="22"/>
        </w:rPr>
      </w:pPr>
      <w:r>
        <w:rPr>
          <w:i/>
          <w:sz w:val="22"/>
          <w:szCs w:val="22"/>
        </w:rPr>
        <w:t xml:space="preserve">The east elevation facing Brunswick Street will be externally clad with a vertical batten screen on its southern side, with the recessed north side finished with white sheet cladding and glazed balustrading. The north and south elevations will </w:t>
      </w:r>
      <w:r w:rsidR="00950B9E">
        <w:rPr>
          <w:i/>
          <w:sz w:val="22"/>
          <w:szCs w:val="22"/>
        </w:rPr>
        <w:t xml:space="preserve">each be largely clad with light grey horizontal textured concrete, with smaller section dark toned sheet cladding along the top level, and timber batten screens on the east side. The rear west elevation to the adjacent laneway is predominantly clad with a full height vertical timber batten screen, with glazing and white cladding along the northern side. At street level it will </w:t>
      </w:r>
      <w:r w:rsidR="00180ED4">
        <w:rPr>
          <w:i/>
          <w:sz w:val="22"/>
          <w:szCs w:val="22"/>
        </w:rPr>
        <w:t>include a large timber garage door and pedestrian entry.</w:t>
      </w:r>
    </w:p>
    <w:p w14:paraId="49BC53FA" w14:textId="2455E625" w:rsidR="004816B2" w:rsidRPr="006835D4" w:rsidRDefault="00EB6A6B" w:rsidP="006835D4">
      <w:pPr>
        <w:pStyle w:val="H4"/>
        <w:spacing w:after="120"/>
        <w:rPr>
          <w:sz w:val="22"/>
        </w:rPr>
      </w:pPr>
      <w:r>
        <w:rPr>
          <w:sz w:val="22"/>
        </w:rPr>
        <w:t>DETERMINATION</w:t>
      </w:r>
      <w:r w:rsidR="00402903" w:rsidRPr="00402903">
        <w:rPr>
          <w:sz w:val="22"/>
        </w:rPr>
        <w:t xml:space="preserve"> of the Executive Director</w:t>
      </w:r>
    </w:p>
    <w:p w14:paraId="204F3E18" w14:textId="5A356738" w:rsidR="006835D4" w:rsidRPr="006835D4" w:rsidRDefault="006835D4" w:rsidP="004F5F06">
      <w:pPr>
        <w:pStyle w:val="BP2"/>
        <w:numPr>
          <w:ilvl w:val="0"/>
          <w:numId w:val="3"/>
        </w:numPr>
        <w:tabs>
          <w:tab w:val="clear" w:pos="432"/>
        </w:tabs>
        <w:ind w:left="567" w:hanging="567"/>
        <w:rPr>
          <w:sz w:val="22"/>
          <w:szCs w:val="22"/>
        </w:rPr>
      </w:pPr>
      <w:r>
        <w:rPr>
          <w:sz w:val="22"/>
          <w:szCs w:val="22"/>
        </w:rPr>
        <w:t>On 12 October</w:t>
      </w:r>
      <w:r w:rsidRPr="3AB8B1F8">
        <w:rPr>
          <w:sz w:val="22"/>
          <w:szCs w:val="22"/>
        </w:rPr>
        <w:t xml:space="preserve"> 2018, the Executive Director determined pursuant to section </w:t>
      </w:r>
      <w:r>
        <w:rPr>
          <w:sz w:val="22"/>
          <w:szCs w:val="22"/>
        </w:rPr>
        <w:t xml:space="preserve">74(1)(c) </w:t>
      </w:r>
      <w:r w:rsidRPr="3AB8B1F8">
        <w:rPr>
          <w:sz w:val="22"/>
          <w:szCs w:val="22"/>
        </w:rPr>
        <w:t xml:space="preserve">of the </w:t>
      </w:r>
      <w:r w:rsidRPr="00D665B0">
        <w:rPr>
          <w:sz w:val="22"/>
          <w:szCs w:val="22"/>
        </w:rPr>
        <w:t>1995 Act</w:t>
      </w:r>
      <w:r>
        <w:rPr>
          <w:sz w:val="22"/>
          <w:szCs w:val="22"/>
        </w:rPr>
        <w:t xml:space="preserve"> </w:t>
      </w:r>
      <w:r w:rsidRPr="3AB8B1F8">
        <w:rPr>
          <w:sz w:val="22"/>
          <w:szCs w:val="22"/>
        </w:rPr>
        <w:t>to refuse to issue a permit in respect of the Application (‘the Determination’) on the following basis:</w:t>
      </w:r>
    </w:p>
    <w:p w14:paraId="10B492FB" w14:textId="363B699B" w:rsidR="006835D4" w:rsidRDefault="006835D4" w:rsidP="006835D4">
      <w:pPr>
        <w:pStyle w:val="BP2"/>
        <w:ind w:left="851"/>
        <w:rPr>
          <w:sz w:val="22"/>
          <w:szCs w:val="22"/>
        </w:rPr>
      </w:pPr>
      <w:r w:rsidRPr="004816B2">
        <w:rPr>
          <w:i/>
          <w:sz w:val="22"/>
        </w:rPr>
        <w:t xml:space="preserve">The </w:t>
      </w:r>
      <w:r>
        <w:rPr>
          <w:i/>
          <w:sz w:val="22"/>
        </w:rPr>
        <w:t>loss of significant built fabric and the impact on the setting of the place are not considered justifiable when assessed against the criteria which the Executive Director must consider when determining a permit application.</w:t>
      </w:r>
    </w:p>
    <w:p w14:paraId="25D1094C" w14:textId="43FF32A5" w:rsidR="006835D4" w:rsidRPr="006835D4" w:rsidRDefault="006835D4" w:rsidP="006835D4">
      <w:pPr>
        <w:pStyle w:val="H4"/>
        <w:spacing w:after="120"/>
        <w:rPr>
          <w:sz w:val="22"/>
        </w:rPr>
      </w:pPr>
      <w:r>
        <w:rPr>
          <w:sz w:val="22"/>
        </w:rPr>
        <w:t>THE PERMIT REVIEW</w:t>
      </w:r>
    </w:p>
    <w:p w14:paraId="280BCE21" w14:textId="0E6AF1EF" w:rsidR="003E0F2B" w:rsidRDefault="3AB8B1F8" w:rsidP="004F5F06">
      <w:pPr>
        <w:pStyle w:val="BP2"/>
        <w:numPr>
          <w:ilvl w:val="0"/>
          <w:numId w:val="3"/>
        </w:numPr>
        <w:tabs>
          <w:tab w:val="clear" w:pos="432"/>
        </w:tabs>
        <w:ind w:left="567" w:hanging="567"/>
        <w:rPr>
          <w:sz w:val="22"/>
          <w:szCs w:val="22"/>
        </w:rPr>
      </w:pPr>
      <w:r w:rsidRPr="3AB8B1F8">
        <w:rPr>
          <w:sz w:val="22"/>
          <w:szCs w:val="22"/>
        </w:rPr>
        <w:t xml:space="preserve">On </w:t>
      </w:r>
      <w:r w:rsidR="008C1A51">
        <w:rPr>
          <w:sz w:val="22"/>
          <w:szCs w:val="22"/>
        </w:rPr>
        <w:t>10</w:t>
      </w:r>
      <w:r w:rsidR="00244550">
        <w:rPr>
          <w:sz w:val="22"/>
          <w:szCs w:val="22"/>
        </w:rPr>
        <w:t xml:space="preserve"> </w:t>
      </w:r>
      <w:r w:rsidR="00FB04C5">
        <w:rPr>
          <w:sz w:val="22"/>
          <w:szCs w:val="22"/>
        </w:rPr>
        <w:t>December 2018</w:t>
      </w:r>
      <w:r w:rsidRPr="3AB8B1F8">
        <w:rPr>
          <w:sz w:val="22"/>
          <w:szCs w:val="22"/>
        </w:rPr>
        <w:t xml:space="preserve">, the Heritage Council received </w:t>
      </w:r>
      <w:r w:rsidR="00244550">
        <w:rPr>
          <w:sz w:val="22"/>
          <w:szCs w:val="22"/>
        </w:rPr>
        <w:t>a request from the</w:t>
      </w:r>
      <w:r w:rsidRPr="3AB8B1F8">
        <w:rPr>
          <w:sz w:val="22"/>
          <w:szCs w:val="22"/>
        </w:rPr>
        <w:t xml:space="preserve"> Permit Applicant </w:t>
      </w:r>
      <w:r w:rsidR="00244550">
        <w:rPr>
          <w:sz w:val="22"/>
          <w:szCs w:val="22"/>
        </w:rPr>
        <w:t>for a</w:t>
      </w:r>
      <w:r w:rsidRPr="3AB8B1F8">
        <w:rPr>
          <w:sz w:val="22"/>
          <w:szCs w:val="22"/>
        </w:rPr>
        <w:t xml:space="preserve"> review of the Determination and a hearing into the review.</w:t>
      </w:r>
    </w:p>
    <w:p w14:paraId="01ADC2BE" w14:textId="1DB10773" w:rsidR="0066196E" w:rsidRPr="0066196E" w:rsidRDefault="003E0F2B" w:rsidP="004F5F06">
      <w:pPr>
        <w:pStyle w:val="BP2"/>
        <w:numPr>
          <w:ilvl w:val="0"/>
          <w:numId w:val="3"/>
        </w:numPr>
        <w:tabs>
          <w:tab w:val="clear" w:pos="432"/>
          <w:tab w:val="left" w:pos="709"/>
        </w:tabs>
        <w:ind w:left="567" w:hanging="567"/>
        <w:rPr>
          <w:sz w:val="22"/>
          <w:szCs w:val="22"/>
        </w:rPr>
      </w:pPr>
      <w:r>
        <w:rPr>
          <w:sz w:val="22"/>
          <w:szCs w:val="22"/>
        </w:rPr>
        <w:t>On 12 March 201</w:t>
      </w:r>
      <w:r w:rsidR="00673B03">
        <w:rPr>
          <w:sz w:val="22"/>
          <w:szCs w:val="22"/>
        </w:rPr>
        <w:t>9</w:t>
      </w:r>
      <w:r>
        <w:rPr>
          <w:sz w:val="22"/>
          <w:szCs w:val="22"/>
        </w:rPr>
        <w:t>, the Permit Applicant advised that it wished to amend its reasons for review to be as follows:</w:t>
      </w:r>
    </w:p>
    <w:p w14:paraId="2877F275" w14:textId="3313D298" w:rsidR="003E0F2B" w:rsidRPr="0066196E" w:rsidRDefault="0066196E" w:rsidP="0066196E">
      <w:pPr>
        <w:pStyle w:val="BP2"/>
        <w:numPr>
          <w:ilvl w:val="0"/>
          <w:numId w:val="18"/>
        </w:numPr>
        <w:ind w:left="1077" w:hanging="357"/>
        <w:rPr>
          <w:i/>
          <w:sz w:val="22"/>
          <w:szCs w:val="22"/>
        </w:rPr>
      </w:pPr>
      <w:r w:rsidRPr="0066196E">
        <w:rPr>
          <w:i/>
          <w:sz w:val="22"/>
          <w:szCs w:val="22"/>
        </w:rPr>
        <w:t>The proposal is appropriate within the setting of the place and will not have an adverse impact on the cultural heritage significance of the place;</w:t>
      </w:r>
    </w:p>
    <w:p w14:paraId="2DEC0768" w14:textId="72E375BF" w:rsidR="0066196E" w:rsidRPr="0066196E" w:rsidRDefault="0066196E" w:rsidP="00AE2397">
      <w:pPr>
        <w:pStyle w:val="BP2"/>
        <w:numPr>
          <w:ilvl w:val="0"/>
          <w:numId w:val="18"/>
        </w:numPr>
        <w:ind w:left="1077" w:hanging="357"/>
        <w:rPr>
          <w:i/>
          <w:sz w:val="22"/>
          <w:szCs w:val="22"/>
        </w:rPr>
      </w:pPr>
      <w:r w:rsidRPr="0066196E">
        <w:rPr>
          <w:i/>
          <w:sz w:val="22"/>
          <w:szCs w:val="22"/>
        </w:rPr>
        <w:t>The loss of significant built fabric is justifiable in the circumstances;</w:t>
      </w:r>
    </w:p>
    <w:p w14:paraId="1B2918F3" w14:textId="2107CE81" w:rsidR="0066196E" w:rsidRPr="0066196E" w:rsidRDefault="0066196E" w:rsidP="0066196E">
      <w:pPr>
        <w:pStyle w:val="BP2"/>
        <w:numPr>
          <w:ilvl w:val="0"/>
          <w:numId w:val="18"/>
        </w:numPr>
        <w:ind w:left="1077" w:hanging="357"/>
        <w:rPr>
          <w:i/>
          <w:sz w:val="22"/>
          <w:szCs w:val="22"/>
        </w:rPr>
      </w:pPr>
      <w:r w:rsidRPr="0066196E">
        <w:rPr>
          <w:i/>
          <w:sz w:val="22"/>
          <w:szCs w:val="22"/>
        </w:rPr>
        <w:lastRenderedPageBreak/>
        <w:t>The Executive Director failed to correctly apply s 73(1)(b) of the [1995 Act] by, in effect, requiring evidence of “reasonable or economic use” to justify the loss of heritage fabric;</w:t>
      </w:r>
    </w:p>
    <w:p w14:paraId="4389E528" w14:textId="117B774D" w:rsidR="0066196E" w:rsidRPr="0066196E" w:rsidRDefault="0066196E" w:rsidP="0066196E">
      <w:pPr>
        <w:pStyle w:val="BP2"/>
        <w:numPr>
          <w:ilvl w:val="0"/>
          <w:numId w:val="18"/>
        </w:numPr>
        <w:ind w:left="1077" w:hanging="357"/>
        <w:rPr>
          <w:i/>
          <w:sz w:val="22"/>
          <w:szCs w:val="22"/>
        </w:rPr>
      </w:pPr>
      <w:r w:rsidRPr="0066196E">
        <w:rPr>
          <w:i/>
          <w:sz w:val="22"/>
          <w:szCs w:val="22"/>
        </w:rPr>
        <w:t>The Executive Director failed to correctly apply s 73(1)(a) of the [1995 Act] by requiring the applicant to provide an alternative development proposal as part of its permit application to be considered by the Executive Director; and</w:t>
      </w:r>
    </w:p>
    <w:p w14:paraId="489C7261" w14:textId="3FC457C0" w:rsidR="0066196E" w:rsidRPr="0066196E" w:rsidRDefault="0066196E" w:rsidP="0066196E">
      <w:pPr>
        <w:pStyle w:val="BP2"/>
        <w:numPr>
          <w:ilvl w:val="0"/>
          <w:numId w:val="18"/>
        </w:numPr>
        <w:spacing w:after="360"/>
        <w:rPr>
          <w:i/>
          <w:sz w:val="22"/>
          <w:szCs w:val="22"/>
        </w:rPr>
      </w:pPr>
      <w:r w:rsidRPr="0066196E">
        <w:rPr>
          <w:i/>
          <w:sz w:val="22"/>
          <w:szCs w:val="22"/>
        </w:rPr>
        <w:t>In all the circumstances the proposal is worthy of approval.</w:t>
      </w:r>
    </w:p>
    <w:p w14:paraId="44AF7A30" w14:textId="2B77783B" w:rsidR="00673B03" w:rsidRPr="003E0F2B" w:rsidRDefault="00673B03" w:rsidP="00F279D5">
      <w:pPr>
        <w:pStyle w:val="BP2"/>
        <w:numPr>
          <w:ilvl w:val="0"/>
          <w:numId w:val="3"/>
        </w:numPr>
        <w:tabs>
          <w:tab w:val="clear" w:pos="432"/>
          <w:tab w:val="left" w:pos="709"/>
        </w:tabs>
        <w:ind w:left="567" w:hanging="567"/>
        <w:rPr>
          <w:sz w:val="22"/>
          <w:szCs w:val="22"/>
        </w:rPr>
      </w:pPr>
      <w:r w:rsidRPr="003E0F2B">
        <w:rPr>
          <w:sz w:val="22"/>
          <w:szCs w:val="22"/>
        </w:rPr>
        <w:t>A Registrations and Reviews Committee of the Heritage Council (‘the Committee’) was constituted to consider and determine the matter.</w:t>
      </w:r>
    </w:p>
    <w:p w14:paraId="688C8E63" w14:textId="066ADC4E" w:rsidR="009C7FBE" w:rsidRPr="009C7FBE" w:rsidRDefault="009C7FBE" w:rsidP="00090F2D">
      <w:pPr>
        <w:pStyle w:val="H3AFTER"/>
        <w:rPr>
          <w:b/>
          <w:sz w:val="24"/>
          <w:lang w:eastAsia="en-AU"/>
        </w:rPr>
      </w:pPr>
      <w:r w:rsidRPr="009C7FBE">
        <w:rPr>
          <w:b/>
          <w:sz w:val="24"/>
          <w:lang w:eastAsia="en-AU"/>
        </w:rPr>
        <w:t>PRELIMINARY, PROCEDURAL AND OTHER MATTERS</w:t>
      </w:r>
    </w:p>
    <w:p w14:paraId="44519732" w14:textId="081634A6" w:rsidR="0066196E" w:rsidRPr="0066196E" w:rsidRDefault="009C7FBE" w:rsidP="0066196E">
      <w:pPr>
        <w:pStyle w:val="H4"/>
        <w:spacing w:after="120"/>
        <w:rPr>
          <w:sz w:val="22"/>
        </w:rPr>
      </w:pPr>
      <w:r w:rsidRPr="00267AE6">
        <w:rPr>
          <w:sz w:val="22"/>
        </w:rPr>
        <w:t>Site Inspection</w:t>
      </w:r>
    </w:p>
    <w:p w14:paraId="2625ACA8" w14:textId="293332B5" w:rsidR="009C7FBE" w:rsidRPr="00267AE6" w:rsidRDefault="3AB8B1F8" w:rsidP="004F5F06">
      <w:pPr>
        <w:pStyle w:val="BP2"/>
        <w:numPr>
          <w:ilvl w:val="0"/>
          <w:numId w:val="3"/>
        </w:numPr>
        <w:tabs>
          <w:tab w:val="clear" w:pos="432"/>
          <w:tab w:val="left" w:pos="709"/>
        </w:tabs>
        <w:ind w:left="567" w:hanging="567"/>
        <w:rPr>
          <w:sz w:val="22"/>
          <w:szCs w:val="22"/>
        </w:rPr>
      </w:pPr>
      <w:r w:rsidRPr="3AB8B1F8">
        <w:rPr>
          <w:sz w:val="22"/>
          <w:szCs w:val="22"/>
        </w:rPr>
        <w:t>On 2</w:t>
      </w:r>
      <w:r w:rsidR="00FB04C5">
        <w:rPr>
          <w:sz w:val="22"/>
          <w:szCs w:val="22"/>
        </w:rPr>
        <w:t>9</w:t>
      </w:r>
      <w:r w:rsidRPr="3AB8B1F8">
        <w:rPr>
          <w:sz w:val="22"/>
          <w:szCs w:val="22"/>
        </w:rPr>
        <w:t xml:space="preserve"> </w:t>
      </w:r>
      <w:r w:rsidR="00FB04C5">
        <w:rPr>
          <w:sz w:val="22"/>
          <w:szCs w:val="22"/>
        </w:rPr>
        <w:t>April</w:t>
      </w:r>
      <w:r w:rsidRPr="3AB8B1F8">
        <w:rPr>
          <w:sz w:val="22"/>
          <w:szCs w:val="22"/>
        </w:rPr>
        <w:t xml:space="preserve"> 2019, the Committee undertook a site inspection of the </w:t>
      </w:r>
      <w:r w:rsidR="00B53EB1">
        <w:rPr>
          <w:sz w:val="22"/>
          <w:szCs w:val="22"/>
        </w:rPr>
        <w:t>Subject Site</w:t>
      </w:r>
      <w:r w:rsidRPr="3AB8B1F8">
        <w:rPr>
          <w:sz w:val="22"/>
          <w:szCs w:val="22"/>
        </w:rPr>
        <w:t xml:space="preserve"> accompanied by the Heritage Council Hearings Coordinator. Access to the site was provided by </w:t>
      </w:r>
      <w:r w:rsidR="00FB04C5">
        <w:rPr>
          <w:sz w:val="22"/>
          <w:szCs w:val="22"/>
        </w:rPr>
        <w:t>the Permit Applicant</w:t>
      </w:r>
      <w:r w:rsidRPr="3AB8B1F8">
        <w:rPr>
          <w:sz w:val="22"/>
          <w:szCs w:val="22"/>
        </w:rPr>
        <w:t>. No submissions were sought, made or received at the time of the site inspection.</w:t>
      </w:r>
    </w:p>
    <w:p w14:paraId="0E5D7144" w14:textId="66288C26" w:rsidR="009C7FBE" w:rsidRPr="00267AE6" w:rsidRDefault="004807F5" w:rsidP="00267AE6">
      <w:pPr>
        <w:pStyle w:val="H4"/>
        <w:spacing w:after="120"/>
        <w:rPr>
          <w:sz w:val="22"/>
        </w:rPr>
      </w:pPr>
      <w:r>
        <w:rPr>
          <w:sz w:val="22"/>
        </w:rPr>
        <w:t>SUBMISSIONS ON THE EXTENT OF REGISTRATION</w:t>
      </w:r>
    </w:p>
    <w:p w14:paraId="34F8C30E" w14:textId="4A16B03D" w:rsidR="00C45296" w:rsidRDefault="3AB8B1F8" w:rsidP="004F5F06">
      <w:pPr>
        <w:pStyle w:val="BP2"/>
        <w:numPr>
          <w:ilvl w:val="0"/>
          <w:numId w:val="3"/>
        </w:numPr>
        <w:tabs>
          <w:tab w:val="clear" w:pos="432"/>
        </w:tabs>
        <w:ind w:left="567" w:hanging="567"/>
        <w:rPr>
          <w:sz w:val="22"/>
          <w:szCs w:val="22"/>
        </w:rPr>
      </w:pPr>
      <w:r w:rsidRPr="3AB8B1F8">
        <w:rPr>
          <w:sz w:val="22"/>
          <w:szCs w:val="22"/>
        </w:rPr>
        <w:t xml:space="preserve">On </w:t>
      </w:r>
      <w:r w:rsidR="00C07E4A">
        <w:rPr>
          <w:sz w:val="22"/>
          <w:szCs w:val="22"/>
        </w:rPr>
        <w:t>1</w:t>
      </w:r>
      <w:r w:rsidRPr="3AB8B1F8">
        <w:rPr>
          <w:sz w:val="22"/>
          <w:szCs w:val="22"/>
        </w:rPr>
        <w:t xml:space="preserve"> </w:t>
      </w:r>
      <w:r w:rsidR="00C07E4A">
        <w:rPr>
          <w:sz w:val="22"/>
          <w:szCs w:val="22"/>
        </w:rPr>
        <w:t>April</w:t>
      </w:r>
      <w:r w:rsidRPr="3AB8B1F8">
        <w:rPr>
          <w:sz w:val="22"/>
          <w:szCs w:val="22"/>
        </w:rPr>
        <w:t xml:space="preserve"> 2019, the Committee </w:t>
      </w:r>
      <w:r w:rsidR="0066196E">
        <w:rPr>
          <w:sz w:val="22"/>
          <w:szCs w:val="22"/>
        </w:rPr>
        <w:t xml:space="preserve">wrote to all </w:t>
      </w:r>
      <w:r w:rsidR="00C07E4A">
        <w:rPr>
          <w:sz w:val="22"/>
          <w:szCs w:val="22"/>
        </w:rPr>
        <w:t>parties regarding the extent of registration of the Place as compared to the extent of land included in HO151 of the Scheme. The Committee:</w:t>
      </w:r>
    </w:p>
    <w:p w14:paraId="58186254" w14:textId="1F068775" w:rsidR="007948D0" w:rsidRDefault="007948D0" w:rsidP="004F5F06">
      <w:pPr>
        <w:pStyle w:val="BP2"/>
        <w:numPr>
          <w:ilvl w:val="0"/>
          <w:numId w:val="20"/>
        </w:numPr>
        <w:tabs>
          <w:tab w:val="clear" w:pos="432"/>
          <w:tab w:val="left" w:pos="567"/>
        </w:tabs>
        <w:ind w:left="993" w:hanging="426"/>
        <w:rPr>
          <w:sz w:val="22"/>
          <w:szCs w:val="22"/>
        </w:rPr>
      </w:pPr>
      <w:r>
        <w:rPr>
          <w:sz w:val="22"/>
          <w:szCs w:val="22"/>
        </w:rPr>
        <w:t xml:space="preserve">requested that the Executive Director and Permit Applicant include a plan or diagram in their written hearing submissions that clearly identified the part or parts of the proposed development to be located within the </w:t>
      </w:r>
      <w:r w:rsidR="00BC1F75">
        <w:rPr>
          <w:sz w:val="22"/>
          <w:szCs w:val="22"/>
        </w:rPr>
        <w:t>extent of registration</w:t>
      </w:r>
      <w:r>
        <w:rPr>
          <w:sz w:val="22"/>
          <w:szCs w:val="22"/>
        </w:rPr>
        <w:t>; and</w:t>
      </w:r>
    </w:p>
    <w:p w14:paraId="232A126B" w14:textId="791A7DC2" w:rsidR="007948D0" w:rsidRPr="007948D0" w:rsidRDefault="007948D0" w:rsidP="004F5F06">
      <w:pPr>
        <w:pStyle w:val="BP2"/>
        <w:numPr>
          <w:ilvl w:val="0"/>
          <w:numId w:val="20"/>
        </w:numPr>
        <w:tabs>
          <w:tab w:val="clear" w:pos="432"/>
          <w:tab w:val="left" w:pos="567"/>
        </w:tabs>
        <w:ind w:left="993" w:hanging="426"/>
        <w:rPr>
          <w:sz w:val="22"/>
          <w:szCs w:val="22"/>
        </w:rPr>
      </w:pPr>
      <w:r>
        <w:rPr>
          <w:sz w:val="22"/>
          <w:szCs w:val="22"/>
        </w:rPr>
        <w:t>invited all parties to the hearing to include in their written submissions any contentions in relation to the extent</w:t>
      </w:r>
      <w:r w:rsidR="00F37284">
        <w:rPr>
          <w:sz w:val="22"/>
          <w:szCs w:val="22"/>
        </w:rPr>
        <w:t xml:space="preserve"> </w:t>
      </w:r>
      <w:r>
        <w:rPr>
          <w:sz w:val="22"/>
          <w:szCs w:val="22"/>
        </w:rPr>
        <w:t xml:space="preserve">to which the Committee can or should have regard </w:t>
      </w:r>
      <w:r w:rsidR="005D3E74">
        <w:rPr>
          <w:sz w:val="22"/>
          <w:szCs w:val="22"/>
        </w:rPr>
        <w:t>in respect of</w:t>
      </w:r>
      <w:r>
        <w:rPr>
          <w:sz w:val="22"/>
          <w:szCs w:val="22"/>
        </w:rPr>
        <w:t xml:space="preserve"> the proposed development that may be located outside of the </w:t>
      </w:r>
      <w:r w:rsidR="00BC1F75">
        <w:rPr>
          <w:sz w:val="22"/>
          <w:szCs w:val="22"/>
        </w:rPr>
        <w:t>extent of registration</w:t>
      </w:r>
      <w:r>
        <w:rPr>
          <w:sz w:val="22"/>
          <w:szCs w:val="22"/>
        </w:rPr>
        <w:t>.</w:t>
      </w:r>
    </w:p>
    <w:p w14:paraId="58B7203A" w14:textId="77777777" w:rsidR="0060536B" w:rsidRDefault="007948D0" w:rsidP="004F5F06">
      <w:pPr>
        <w:pStyle w:val="BP2"/>
        <w:numPr>
          <w:ilvl w:val="0"/>
          <w:numId w:val="3"/>
        </w:numPr>
        <w:tabs>
          <w:tab w:val="clear" w:pos="432"/>
          <w:tab w:val="left" w:pos="567"/>
        </w:tabs>
        <w:ind w:left="567" w:hanging="567"/>
        <w:rPr>
          <w:sz w:val="22"/>
          <w:szCs w:val="22"/>
        </w:rPr>
      </w:pPr>
      <w:r>
        <w:rPr>
          <w:sz w:val="22"/>
          <w:szCs w:val="22"/>
        </w:rPr>
        <w:t xml:space="preserve">All submissions received in respect of these matters were circulated to </w:t>
      </w:r>
      <w:proofErr w:type="spellStart"/>
      <w:r>
        <w:rPr>
          <w:sz w:val="22"/>
          <w:szCs w:val="22"/>
        </w:rPr>
        <w:t>Yarra</w:t>
      </w:r>
      <w:proofErr w:type="spellEnd"/>
      <w:r>
        <w:rPr>
          <w:sz w:val="22"/>
          <w:szCs w:val="22"/>
        </w:rPr>
        <w:t xml:space="preserve"> and parties participating in the Review.</w:t>
      </w:r>
    </w:p>
    <w:p w14:paraId="1B34ECD6" w14:textId="28301C37" w:rsidR="0060536B" w:rsidRPr="0060536B" w:rsidRDefault="0060536B" w:rsidP="0060536B">
      <w:pPr>
        <w:pStyle w:val="H4"/>
        <w:spacing w:after="120"/>
        <w:rPr>
          <w:sz w:val="22"/>
        </w:rPr>
      </w:pPr>
      <w:r w:rsidRPr="0060536B">
        <w:rPr>
          <w:sz w:val="22"/>
        </w:rPr>
        <w:t>DRAFT ‘WITHOUT PREJUDICE’ PERMIT CONDITIONS</w:t>
      </w:r>
    </w:p>
    <w:p w14:paraId="0A16BAD9" w14:textId="68EA8070" w:rsidR="0060536B" w:rsidRDefault="0060536B" w:rsidP="004F5F06">
      <w:pPr>
        <w:pStyle w:val="BP2"/>
        <w:numPr>
          <w:ilvl w:val="0"/>
          <w:numId w:val="3"/>
        </w:numPr>
        <w:tabs>
          <w:tab w:val="clear" w:pos="432"/>
          <w:tab w:val="left" w:pos="709"/>
        </w:tabs>
        <w:ind w:left="567" w:hanging="567"/>
        <w:rPr>
          <w:sz w:val="22"/>
          <w:szCs w:val="22"/>
        </w:rPr>
      </w:pPr>
      <w:r>
        <w:rPr>
          <w:sz w:val="22"/>
          <w:szCs w:val="22"/>
        </w:rPr>
        <w:t>At the hearing, the Committee requested that the Executive Director provide draft ‘without prejudice’ permit conditions within seven days after the hearing. The draft conditions were received on 7 May 2019 and circulated to all parties for comment.</w:t>
      </w:r>
    </w:p>
    <w:p w14:paraId="07160581" w14:textId="214C44C7" w:rsidR="0060536B" w:rsidRPr="00302301" w:rsidRDefault="0060536B" w:rsidP="004F5F06">
      <w:pPr>
        <w:pStyle w:val="BP2"/>
        <w:numPr>
          <w:ilvl w:val="0"/>
          <w:numId w:val="3"/>
        </w:numPr>
        <w:tabs>
          <w:tab w:val="clear" w:pos="432"/>
          <w:tab w:val="left" w:pos="709"/>
        </w:tabs>
        <w:ind w:left="567" w:hanging="567"/>
        <w:rPr>
          <w:sz w:val="22"/>
          <w:szCs w:val="22"/>
        </w:rPr>
      </w:pPr>
      <w:r>
        <w:rPr>
          <w:sz w:val="22"/>
          <w:szCs w:val="22"/>
        </w:rPr>
        <w:t>On 15 May 2019, the Permit Applicant provided comments on the draft conditions. The Permit Applicant accept</w:t>
      </w:r>
      <w:r w:rsidR="00673B03">
        <w:rPr>
          <w:sz w:val="22"/>
          <w:szCs w:val="22"/>
        </w:rPr>
        <w:t>ed</w:t>
      </w:r>
      <w:r>
        <w:rPr>
          <w:sz w:val="22"/>
          <w:szCs w:val="22"/>
        </w:rPr>
        <w:t xml:space="preserve"> </w:t>
      </w:r>
      <w:proofErr w:type="gramStart"/>
      <w:r>
        <w:rPr>
          <w:sz w:val="22"/>
          <w:szCs w:val="22"/>
        </w:rPr>
        <w:t>all of</w:t>
      </w:r>
      <w:proofErr w:type="gramEnd"/>
      <w:r>
        <w:rPr>
          <w:sz w:val="22"/>
          <w:szCs w:val="22"/>
        </w:rPr>
        <w:t xml:space="preserve"> the conditions as drafted other than a condition relating to the reconstruction of the decorative pediment on the front façade of the Main House.</w:t>
      </w:r>
      <w:r w:rsidR="00302301">
        <w:rPr>
          <w:sz w:val="22"/>
          <w:szCs w:val="22"/>
        </w:rPr>
        <w:t xml:space="preserve"> </w:t>
      </w:r>
      <w:proofErr w:type="spellStart"/>
      <w:r w:rsidRPr="00302301">
        <w:rPr>
          <w:sz w:val="22"/>
          <w:szCs w:val="22"/>
        </w:rPr>
        <w:t>Ms</w:t>
      </w:r>
      <w:proofErr w:type="spellEnd"/>
      <w:r w:rsidRPr="00302301">
        <w:rPr>
          <w:sz w:val="22"/>
          <w:szCs w:val="22"/>
        </w:rPr>
        <w:t xml:space="preserve"> Elliot also </w:t>
      </w:r>
      <w:r w:rsidR="00302301" w:rsidRPr="00302301">
        <w:rPr>
          <w:sz w:val="22"/>
          <w:szCs w:val="22"/>
        </w:rPr>
        <w:t xml:space="preserve">provided comments on </w:t>
      </w:r>
      <w:proofErr w:type="gramStart"/>
      <w:r w:rsidR="00302301" w:rsidRPr="00302301">
        <w:rPr>
          <w:sz w:val="22"/>
          <w:szCs w:val="22"/>
        </w:rPr>
        <w:t>a number of</w:t>
      </w:r>
      <w:proofErr w:type="gramEnd"/>
      <w:r w:rsidR="00302301" w:rsidRPr="00302301">
        <w:rPr>
          <w:sz w:val="22"/>
          <w:szCs w:val="22"/>
        </w:rPr>
        <w:t xml:space="preserve"> draft permit conditions.</w:t>
      </w:r>
    </w:p>
    <w:p w14:paraId="2BAF269F" w14:textId="6D6C60E3" w:rsidR="00302301" w:rsidRDefault="00302301" w:rsidP="004F5F06">
      <w:pPr>
        <w:pStyle w:val="BP2"/>
        <w:numPr>
          <w:ilvl w:val="0"/>
          <w:numId w:val="3"/>
        </w:numPr>
        <w:tabs>
          <w:tab w:val="clear" w:pos="432"/>
          <w:tab w:val="left" w:pos="709"/>
        </w:tabs>
        <w:ind w:left="567" w:hanging="567"/>
        <w:rPr>
          <w:sz w:val="22"/>
          <w:szCs w:val="22"/>
        </w:rPr>
      </w:pPr>
      <w:r>
        <w:rPr>
          <w:sz w:val="22"/>
          <w:szCs w:val="22"/>
        </w:rPr>
        <w:t xml:space="preserve">Issues in relation to conditions are discussed in paragraphs </w:t>
      </w:r>
      <w:r w:rsidR="00BE1792" w:rsidRPr="00F279D5">
        <w:rPr>
          <w:sz w:val="22"/>
          <w:szCs w:val="22"/>
        </w:rPr>
        <w:fldChar w:fldCharType="begin"/>
      </w:r>
      <w:r w:rsidR="00BE1792" w:rsidRPr="00F279D5">
        <w:rPr>
          <w:sz w:val="22"/>
          <w:szCs w:val="22"/>
        </w:rPr>
        <w:instrText xml:space="preserve"> REF _Ref11159383 \r \h </w:instrText>
      </w:r>
      <w:r w:rsidR="00E6411A" w:rsidRPr="00F279D5">
        <w:rPr>
          <w:sz w:val="22"/>
          <w:szCs w:val="22"/>
        </w:rPr>
        <w:instrText xml:space="preserve"> \* MERGEFORMAT </w:instrText>
      </w:r>
      <w:r w:rsidR="00BE1792" w:rsidRPr="00F279D5">
        <w:rPr>
          <w:sz w:val="22"/>
          <w:szCs w:val="22"/>
        </w:rPr>
      </w:r>
      <w:r w:rsidR="00BE1792" w:rsidRPr="00F279D5">
        <w:rPr>
          <w:sz w:val="22"/>
          <w:szCs w:val="22"/>
        </w:rPr>
        <w:fldChar w:fldCharType="separate"/>
      </w:r>
      <w:r w:rsidR="00F414A6">
        <w:rPr>
          <w:sz w:val="22"/>
          <w:szCs w:val="22"/>
        </w:rPr>
        <w:t>0108</w:t>
      </w:r>
      <w:r w:rsidR="00BE1792" w:rsidRPr="00F279D5">
        <w:rPr>
          <w:sz w:val="22"/>
          <w:szCs w:val="22"/>
        </w:rPr>
        <w:fldChar w:fldCharType="end"/>
      </w:r>
      <w:r w:rsidRPr="00F279D5">
        <w:rPr>
          <w:sz w:val="22"/>
          <w:szCs w:val="22"/>
        </w:rPr>
        <w:t xml:space="preserve"> to </w:t>
      </w:r>
      <w:r w:rsidR="00EA4A64" w:rsidRPr="00F279D5">
        <w:rPr>
          <w:sz w:val="22"/>
          <w:szCs w:val="22"/>
        </w:rPr>
        <w:fldChar w:fldCharType="begin"/>
      </w:r>
      <w:r w:rsidR="00EA4A64" w:rsidRPr="00F279D5">
        <w:rPr>
          <w:sz w:val="22"/>
          <w:szCs w:val="22"/>
        </w:rPr>
        <w:instrText xml:space="preserve"> REF _Ref11941009 \r \h </w:instrText>
      </w:r>
      <w:r w:rsidR="00E6411A" w:rsidRPr="00F279D5">
        <w:rPr>
          <w:sz w:val="22"/>
          <w:szCs w:val="22"/>
        </w:rPr>
        <w:instrText xml:space="preserve"> \* MERGEFORMAT </w:instrText>
      </w:r>
      <w:r w:rsidR="00EA4A64" w:rsidRPr="00F279D5">
        <w:rPr>
          <w:sz w:val="22"/>
          <w:szCs w:val="22"/>
        </w:rPr>
      </w:r>
      <w:r w:rsidR="00EA4A64" w:rsidRPr="00F279D5">
        <w:rPr>
          <w:sz w:val="22"/>
          <w:szCs w:val="22"/>
        </w:rPr>
        <w:fldChar w:fldCharType="separate"/>
      </w:r>
      <w:r w:rsidR="00F414A6">
        <w:rPr>
          <w:sz w:val="22"/>
          <w:szCs w:val="22"/>
        </w:rPr>
        <w:t>0115</w:t>
      </w:r>
      <w:r w:rsidR="00EA4A64" w:rsidRPr="00F279D5">
        <w:rPr>
          <w:sz w:val="22"/>
          <w:szCs w:val="22"/>
        </w:rPr>
        <w:fldChar w:fldCharType="end"/>
      </w:r>
      <w:r>
        <w:rPr>
          <w:sz w:val="22"/>
          <w:szCs w:val="22"/>
        </w:rPr>
        <w:t xml:space="preserve"> below.</w:t>
      </w:r>
    </w:p>
    <w:p w14:paraId="65C0A975" w14:textId="73D0B128" w:rsidR="00B60637" w:rsidRPr="0060536B" w:rsidRDefault="00B60637" w:rsidP="0060536B">
      <w:pPr>
        <w:pStyle w:val="H4"/>
        <w:spacing w:after="120"/>
        <w:rPr>
          <w:sz w:val="22"/>
        </w:rPr>
      </w:pPr>
      <w:r w:rsidRPr="0060536B">
        <w:rPr>
          <w:sz w:val="22"/>
        </w:rPr>
        <w:t>Rulings on preliminary matters</w:t>
      </w:r>
    </w:p>
    <w:p w14:paraId="15564D95" w14:textId="2C05F2CC" w:rsidR="00B60637" w:rsidRDefault="00B60637" w:rsidP="004F5F06">
      <w:pPr>
        <w:pStyle w:val="BP2"/>
        <w:numPr>
          <w:ilvl w:val="0"/>
          <w:numId w:val="3"/>
        </w:numPr>
        <w:tabs>
          <w:tab w:val="clear" w:pos="432"/>
        </w:tabs>
        <w:ind w:left="567" w:hanging="567"/>
        <w:rPr>
          <w:sz w:val="22"/>
          <w:szCs w:val="22"/>
        </w:rPr>
      </w:pPr>
      <w:r>
        <w:rPr>
          <w:sz w:val="22"/>
          <w:szCs w:val="22"/>
        </w:rPr>
        <w:t>At the commencement of the hearing, the Committee determined to make rulings in respect of two preliminary matters:</w:t>
      </w:r>
    </w:p>
    <w:p w14:paraId="291B5E79" w14:textId="6DA16EB5" w:rsidR="00244550" w:rsidRDefault="00244550" w:rsidP="004F5F06">
      <w:pPr>
        <w:pStyle w:val="BP2"/>
        <w:numPr>
          <w:ilvl w:val="0"/>
          <w:numId w:val="21"/>
        </w:numPr>
        <w:tabs>
          <w:tab w:val="clear" w:pos="432"/>
        </w:tabs>
        <w:ind w:left="993" w:hanging="426"/>
        <w:rPr>
          <w:sz w:val="22"/>
          <w:szCs w:val="22"/>
        </w:rPr>
      </w:pPr>
      <w:r>
        <w:rPr>
          <w:sz w:val="22"/>
          <w:szCs w:val="22"/>
        </w:rPr>
        <w:lastRenderedPageBreak/>
        <w:t xml:space="preserve">whether the Committee is required to determine the Review under </w:t>
      </w:r>
      <w:r w:rsidR="003D1D08">
        <w:rPr>
          <w:sz w:val="22"/>
          <w:szCs w:val="22"/>
        </w:rPr>
        <w:t xml:space="preserve">section </w:t>
      </w:r>
      <w:r w:rsidR="003D1D08" w:rsidRPr="008278F4">
        <w:rPr>
          <w:sz w:val="22"/>
          <w:szCs w:val="22"/>
        </w:rPr>
        <w:t>76</w:t>
      </w:r>
      <w:r w:rsidR="003D1D08">
        <w:rPr>
          <w:sz w:val="22"/>
          <w:szCs w:val="22"/>
        </w:rPr>
        <w:t xml:space="preserve"> of the</w:t>
      </w:r>
      <w:r w:rsidR="00996DAD">
        <w:rPr>
          <w:sz w:val="22"/>
          <w:szCs w:val="22"/>
        </w:rPr>
        <w:t xml:space="preserve"> 1995 Act or </w:t>
      </w:r>
      <w:r w:rsidR="003D1D08">
        <w:rPr>
          <w:sz w:val="22"/>
          <w:szCs w:val="22"/>
        </w:rPr>
        <w:t xml:space="preserve">section 108 of the </w:t>
      </w:r>
      <w:r w:rsidR="006835D4" w:rsidRPr="006835D4">
        <w:rPr>
          <w:i/>
          <w:sz w:val="22"/>
          <w:szCs w:val="22"/>
        </w:rPr>
        <w:t xml:space="preserve">Heritage Act </w:t>
      </w:r>
      <w:r w:rsidRPr="006835D4">
        <w:rPr>
          <w:i/>
          <w:sz w:val="22"/>
          <w:szCs w:val="22"/>
        </w:rPr>
        <w:t>2017</w:t>
      </w:r>
      <w:r>
        <w:rPr>
          <w:sz w:val="22"/>
          <w:szCs w:val="22"/>
        </w:rPr>
        <w:t xml:space="preserve"> </w:t>
      </w:r>
      <w:r w:rsidR="006835D4">
        <w:rPr>
          <w:sz w:val="22"/>
          <w:szCs w:val="22"/>
        </w:rPr>
        <w:t xml:space="preserve">(‘the 2017 </w:t>
      </w:r>
      <w:r>
        <w:rPr>
          <w:sz w:val="22"/>
          <w:szCs w:val="22"/>
        </w:rPr>
        <w:t>Act</w:t>
      </w:r>
      <w:r w:rsidR="006835D4">
        <w:rPr>
          <w:sz w:val="22"/>
          <w:szCs w:val="22"/>
        </w:rPr>
        <w:t>’)</w:t>
      </w:r>
      <w:r w:rsidR="009B5926">
        <w:rPr>
          <w:sz w:val="22"/>
          <w:szCs w:val="22"/>
        </w:rPr>
        <w:t>; and</w:t>
      </w:r>
      <w:r>
        <w:rPr>
          <w:sz w:val="22"/>
          <w:szCs w:val="22"/>
        </w:rPr>
        <w:t xml:space="preserve"> </w:t>
      </w:r>
    </w:p>
    <w:p w14:paraId="5D647681" w14:textId="60F5AB32" w:rsidR="00B60637" w:rsidRPr="009B5926" w:rsidRDefault="00B60637" w:rsidP="004F5F06">
      <w:pPr>
        <w:pStyle w:val="BP2"/>
        <w:numPr>
          <w:ilvl w:val="0"/>
          <w:numId w:val="21"/>
        </w:numPr>
        <w:tabs>
          <w:tab w:val="clear" w:pos="432"/>
        </w:tabs>
        <w:ind w:left="993" w:hanging="426"/>
        <w:rPr>
          <w:sz w:val="22"/>
          <w:szCs w:val="22"/>
        </w:rPr>
      </w:pPr>
      <w:r>
        <w:rPr>
          <w:sz w:val="22"/>
          <w:szCs w:val="22"/>
        </w:rPr>
        <w:t xml:space="preserve">the extent of </w:t>
      </w:r>
      <w:r w:rsidR="00BC1F75">
        <w:rPr>
          <w:sz w:val="22"/>
          <w:szCs w:val="22"/>
        </w:rPr>
        <w:t xml:space="preserve">registration of the </w:t>
      </w:r>
      <w:r>
        <w:rPr>
          <w:sz w:val="22"/>
          <w:szCs w:val="22"/>
        </w:rPr>
        <w:t>Place</w:t>
      </w:r>
      <w:r w:rsidR="0034187C">
        <w:rPr>
          <w:sz w:val="22"/>
          <w:szCs w:val="22"/>
        </w:rPr>
        <w:t xml:space="preserve">, and relevant implications </w:t>
      </w:r>
      <w:proofErr w:type="gramStart"/>
      <w:r w:rsidR="0034187C">
        <w:rPr>
          <w:sz w:val="22"/>
          <w:szCs w:val="22"/>
        </w:rPr>
        <w:t>for the purpose of</w:t>
      </w:r>
      <w:proofErr w:type="gramEnd"/>
      <w:r w:rsidR="0034187C">
        <w:rPr>
          <w:sz w:val="22"/>
          <w:szCs w:val="22"/>
        </w:rPr>
        <w:t xml:space="preserve"> the Committee’s consideration and determination in respect of the Application</w:t>
      </w:r>
      <w:r w:rsidR="009B5926">
        <w:rPr>
          <w:sz w:val="22"/>
          <w:szCs w:val="22"/>
        </w:rPr>
        <w:t>.</w:t>
      </w:r>
    </w:p>
    <w:p w14:paraId="6C8AF901" w14:textId="00D0EF90" w:rsidR="00B60637" w:rsidRDefault="009B5926" w:rsidP="004F5F06">
      <w:pPr>
        <w:pStyle w:val="BP2"/>
        <w:numPr>
          <w:ilvl w:val="0"/>
          <w:numId w:val="3"/>
        </w:numPr>
        <w:tabs>
          <w:tab w:val="clear" w:pos="432"/>
        </w:tabs>
        <w:ind w:left="567" w:hanging="567"/>
        <w:rPr>
          <w:sz w:val="22"/>
          <w:szCs w:val="22"/>
        </w:rPr>
      </w:pPr>
      <w:r>
        <w:rPr>
          <w:sz w:val="22"/>
          <w:szCs w:val="22"/>
        </w:rPr>
        <w:t>The Committee invited the parties to make oral submissions on these matters</w:t>
      </w:r>
      <w:r w:rsidR="00656591">
        <w:rPr>
          <w:sz w:val="22"/>
          <w:szCs w:val="22"/>
        </w:rPr>
        <w:t xml:space="preserve"> and </w:t>
      </w:r>
      <w:r w:rsidR="00B70C47">
        <w:rPr>
          <w:sz w:val="22"/>
          <w:szCs w:val="22"/>
        </w:rPr>
        <w:t>those</w:t>
      </w:r>
      <w:r w:rsidR="00656591">
        <w:rPr>
          <w:sz w:val="22"/>
          <w:szCs w:val="22"/>
        </w:rPr>
        <w:t xml:space="preserve"> submissions</w:t>
      </w:r>
      <w:r w:rsidR="00BE1792">
        <w:rPr>
          <w:sz w:val="22"/>
          <w:szCs w:val="22"/>
        </w:rPr>
        <w:t xml:space="preserve">, </w:t>
      </w:r>
      <w:r w:rsidR="006835D4">
        <w:rPr>
          <w:sz w:val="22"/>
          <w:szCs w:val="22"/>
        </w:rPr>
        <w:t xml:space="preserve">together with </w:t>
      </w:r>
      <w:r w:rsidR="00A94B61">
        <w:rPr>
          <w:sz w:val="22"/>
          <w:szCs w:val="22"/>
        </w:rPr>
        <w:t xml:space="preserve">the </w:t>
      </w:r>
      <w:r w:rsidR="0034187C">
        <w:rPr>
          <w:sz w:val="22"/>
          <w:szCs w:val="22"/>
        </w:rPr>
        <w:t xml:space="preserve">relevant </w:t>
      </w:r>
      <w:r w:rsidR="006835D4">
        <w:rPr>
          <w:sz w:val="22"/>
          <w:szCs w:val="22"/>
        </w:rPr>
        <w:t>written submissions</w:t>
      </w:r>
      <w:r w:rsidR="00BE1792">
        <w:rPr>
          <w:sz w:val="22"/>
          <w:szCs w:val="22"/>
        </w:rPr>
        <w:t>,</w:t>
      </w:r>
      <w:r w:rsidR="006835D4">
        <w:rPr>
          <w:sz w:val="22"/>
          <w:szCs w:val="22"/>
        </w:rPr>
        <w:t xml:space="preserve"> </w:t>
      </w:r>
      <w:r>
        <w:rPr>
          <w:sz w:val="22"/>
          <w:szCs w:val="22"/>
        </w:rPr>
        <w:t>were considered before the rulings were made.</w:t>
      </w:r>
    </w:p>
    <w:p w14:paraId="1D5B3DCB" w14:textId="4B9149B0" w:rsidR="009B5926" w:rsidRPr="00844234" w:rsidRDefault="00996DAD" w:rsidP="00EB2F82">
      <w:pPr>
        <w:pStyle w:val="BP2"/>
        <w:spacing w:before="240" w:after="240"/>
        <w:jc w:val="both"/>
        <w:rPr>
          <w:bCs/>
          <w:i/>
          <w:spacing w:val="-1"/>
          <w:sz w:val="22"/>
          <w:szCs w:val="22"/>
        </w:rPr>
      </w:pPr>
      <w:r w:rsidRPr="00844234">
        <w:rPr>
          <w:bCs/>
          <w:i/>
          <w:spacing w:val="-1"/>
          <w:sz w:val="22"/>
          <w:szCs w:val="22"/>
        </w:rPr>
        <w:t>Determination of the Review under the 1995 Act or 2017 Act</w:t>
      </w:r>
    </w:p>
    <w:p w14:paraId="0BBA75D1" w14:textId="688EF268" w:rsidR="003F56C0" w:rsidRDefault="006835D4" w:rsidP="004F5F06">
      <w:pPr>
        <w:pStyle w:val="BP2"/>
        <w:numPr>
          <w:ilvl w:val="0"/>
          <w:numId w:val="3"/>
        </w:numPr>
        <w:tabs>
          <w:tab w:val="clear" w:pos="432"/>
          <w:tab w:val="left" w:pos="567"/>
        </w:tabs>
        <w:ind w:left="567" w:hanging="567"/>
        <w:rPr>
          <w:sz w:val="22"/>
          <w:szCs w:val="22"/>
        </w:rPr>
      </w:pPr>
      <w:r>
        <w:rPr>
          <w:sz w:val="22"/>
          <w:szCs w:val="22"/>
        </w:rPr>
        <w:t xml:space="preserve">After the </w:t>
      </w:r>
      <w:r w:rsidR="003F56C0">
        <w:rPr>
          <w:sz w:val="22"/>
          <w:szCs w:val="22"/>
        </w:rPr>
        <w:t xml:space="preserve">Application </w:t>
      </w:r>
      <w:r>
        <w:rPr>
          <w:sz w:val="22"/>
          <w:szCs w:val="22"/>
        </w:rPr>
        <w:t>was made but before it was determined</w:t>
      </w:r>
      <w:r w:rsidR="0085268D">
        <w:rPr>
          <w:sz w:val="22"/>
          <w:szCs w:val="22"/>
        </w:rPr>
        <w:t xml:space="preserve"> by the Executive Director</w:t>
      </w:r>
      <w:r>
        <w:rPr>
          <w:sz w:val="22"/>
          <w:szCs w:val="22"/>
        </w:rPr>
        <w:t xml:space="preserve">, </w:t>
      </w:r>
      <w:r w:rsidR="003F56C0">
        <w:rPr>
          <w:sz w:val="22"/>
          <w:szCs w:val="22"/>
        </w:rPr>
        <w:t xml:space="preserve">the 1995 Act was </w:t>
      </w:r>
      <w:proofErr w:type="gramStart"/>
      <w:r w:rsidR="003F56C0">
        <w:rPr>
          <w:sz w:val="22"/>
          <w:szCs w:val="22"/>
        </w:rPr>
        <w:t>repealed</w:t>
      </w:r>
      <w:proofErr w:type="gramEnd"/>
      <w:r w:rsidR="003F56C0">
        <w:rPr>
          <w:sz w:val="22"/>
          <w:szCs w:val="22"/>
        </w:rPr>
        <w:t xml:space="preserve"> and the 2017 Act </w:t>
      </w:r>
      <w:r w:rsidR="0087733E">
        <w:rPr>
          <w:sz w:val="22"/>
          <w:szCs w:val="22"/>
        </w:rPr>
        <w:t>enacted</w:t>
      </w:r>
      <w:r w:rsidR="003F56C0">
        <w:rPr>
          <w:sz w:val="22"/>
          <w:szCs w:val="22"/>
        </w:rPr>
        <w:t>. The relevant dates are as follows:</w:t>
      </w:r>
    </w:p>
    <w:p w14:paraId="367A59EF" w14:textId="0FD2B10A" w:rsidR="003F56C0" w:rsidRDefault="003F56C0" w:rsidP="004F5F06">
      <w:pPr>
        <w:pStyle w:val="BP2"/>
        <w:numPr>
          <w:ilvl w:val="0"/>
          <w:numId w:val="27"/>
        </w:numPr>
        <w:tabs>
          <w:tab w:val="clear" w:pos="432"/>
          <w:tab w:val="left" w:pos="709"/>
        </w:tabs>
        <w:ind w:left="993" w:hanging="426"/>
        <w:rPr>
          <w:sz w:val="22"/>
          <w:szCs w:val="22"/>
        </w:rPr>
      </w:pPr>
      <w:r>
        <w:rPr>
          <w:sz w:val="22"/>
          <w:szCs w:val="22"/>
        </w:rPr>
        <w:t>on 22 August 201</w:t>
      </w:r>
      <w:r w:rsidR="000411B7">
        <w:rPr>
          <w:sz w:val="22"/>
          <w:szCs w:val="22"/>
        </w:rPr>
        <w:t>7</w:t>
      </w:r>
      <w:r>
        <w:rPr>
          <w:sz w:val="22"/>
          <w:szCs w:val="22"/>
        </w:rPr>
        <w:t xml:space="preserve">, the </w:t>
      </w:r>
      <w:r w:rsidR="00B546AE">
        <w:rPr>
          <w:sz w:val="22"/>
          <w:szCs w:val="22"/>
        </w:rPr>
        <w:t>Executive Director</w:t>
      </w:r>
      <w:r w:rsidR="001E19FC">
        <w:rPr>
          <w:sz w:val="22"/>
          <w:szCs w:val="22"/>
        </w:rPr>
        <w:t xml:space="preserve"> </w:t>
      </w:r>
      <w:r>
        <w:rPr>
          <w:sz w:val="22"/>
          <w:szCs w:val="22"/>
        </w:rPr>
        <w:t>received the Application;</w:t>
      </w:r>
    </w:p>
    <w:p w14:paraId="2E687B34" w14:textId="0E818B84" w:rsidR="003F56C0" w:rsidRDefault="003F56C0" w:rsidP="004F5F06">
      <w:pPr>
        <w:pStyle w:val="BP2"/>
        <w:numPr>
          <w:ilvl w:val="0"/>
          <w:numId w:val="27"/>
        </w:numPr>
        <w:tabs>
          <w:tab w:val="clear" w:pos="432"/>
          <w:tab w:val="left" w:pos="709"/>
        </w:tabs>
        <w:ind w:left="993" w:hanging="426"/>
        <w:rPr>
          <w:sz w:val="22"/>
          <w:szCs w:val="22"/>
        </w:rPr>
      </w:pPr>
      <w:r>
        <w:rPr>
          <w:sz w:val="22"/>
          <w:szCs w:val="22"/>
        </w:rPr>
        <w:t>o</w:t>
      </w:r>
      <w:r w:rsidR="00996DAD" w:rsidRPr="000D3BD5">
        <w:rPr>
          <w:sz w:val="22"/>
          <w:szCs w:val="22"/>
        </w:rPr>
        <w:t>n 1 November</w:t>
      </w:r>
      <w:r w:rsidR="000D3BD5" w:rsidRPr="000D3BD5">
        <w:rPr>
          <w:sz w:val="22"/>
          <w:szCs w:val="22"/>
        </w:rPr>
        <w:t xml:space="preserve"> 2017, the 1995 Act was </w:t>
      </w:r>
      <w:proofErr w:type="gramStart"/>
      <w:r w:rsidR="000D3BD5" w:rsidRPr="000D3BD5">
        <w:rPr>
          <w:sz w:val="22"/>
          <w:szCs w:val="22"/>
        </w:rPr>
        <w:t>repealed</w:t>
      </w:r>
      <w:proofErr w:type="gramEnd"/>
      <w:r w:rsidR="000D3BD5" w:rsidRPr="000D3BD5">
        <w:rPr>
          <w:sz w:val="22"/>
          <w:szCs w:val="22"/>
        </w:rPr>
        <w:t xml:space="preserve"> and the 2017 Act commenced operatio</w:t>
      </w:r>
      <w:r w:rsidR="0087744F">
        <w:rPr>
          <w:sz w:val="22"/>
          <w:szCs w:val="22"/>
        </w:rPr>
        <w:t>n (‘</w:t>
      </w:r>
      <w:r>
        <w:rPr>
          <w:sz w:val="22"/>
          <w:szCs w:val="22"/>
        </w:rPr>
        <w:t xml:space="preserve">the </w:t>
      </w:r>
      <w:r w:rsidR="0087744F">
        <w:rPr>
          <w:sz w:val="22"/>
          <w:szCs w:val="22"/>
        </w:rPr>
        <w:t>Commencement Day’)</w:t>
      </w:r>
      <w:r>
        <w:rPr>
          <w:sz w:val="22"/>
          <w:szCs w:val="22"/>
        </w:rPr>
        <w:t>;</w:t>
      </w:r>
    </w:p>
    <w:p w14:paraId="5F4882DA" w14:textId="3FBA4BBB" w:rsidR="003F56C0" w:rsidRDefault="003F56C0" w:rsidP="004F5F06">
      <w:pPr>
        <w:pStyle w:val="BP2"/>
        <w:numPr>
          <w:ilvl w:val="0"/>
          <w:numId w:val="27"/>
        </w:numPr>
        <w:tabs>
          <w:tab w:val="clear" w:pos="432"/>
          <w:tab w:val="left" w:pos="709"/>
        </w:tabs>
        <w:ind w:left="993" w:hanging="426"/>
        <w:rPr>
          <w:sz w:val="22"/>
          <w:szCs w:val="22"/>
        </w:rPr>
      </w:pPr>
      <w:r>
        <w:rPr>
          <w:sz w:val="22"/>
          <w:szCs w:val="22"/>
        </w:rPr>
        <w:t>o</w:t>
      </w:r>
      <w:r w:rsidR="000D3BD5">
        <w:rPr>
          <w:sz w:val="22"/>
          <w:szCs w:val="22"/>
        </w:rPr>
        <w:t xml:space="preserve">n </w:t>
      </w:r>
      <w:r w:rsidR="008C1A51" w:rsidRPr="000D3BD5">
        <w:rPr>
          <w:sz w:val="22"/>
          <w:szCs w:val="22"/>
        </w:rPr>
        <w:t xml:space="preserve">12 </w:t>
      </w:r>
      <w:r w:rsidR="00B84871" w:rsidRPr="000D3BD5">
        <w:rPr>
          <w:sz w:val="22"/>
          <w:szCs w:val="22"/>
        </w:rPr>
        <w:t>October 2018, the Executive Director</w:t>
      </w:r>
      <w:r w:rsidR="00996DAD" w:rsidRPr="000D3BD5">
        <w:rPr>
          <w:sz w:val="22"/>
          <w:szCs w:val="22"/>
        </w:rPr>
        <w:t xml:space="preserve"> made the Determination</w:t>
      </w:r>
      <w:r>
        <w:rPr>
          <w:sz w:val="22"/>
          <w:szCs w:val="22"/>
        </w:rPr>
        <w:t>;</w:t>
      </w:r>
      <w:r w:rsidR="0087733E">
        <w:rPr>
          <w:sz w:val="22"/>
          <w:szCs w:val="22"/>
        </w:rPr>
        <w:t xml:space="preserve"> and</w:t>
      </w:r>
    </w:p>
    <w:p w14:paraId="7D71B945" w14:textId="3D739901" w:rsidR="007E52FD" w:rsidRDefault="003F56C0" w:rsidP="004F5F06">
      <w:pPr>
        <w:pStyle w:val="BP2"/>
        <w:numPr>
          <w:ilvl w:val="0"/>
          <w:numId w:val="27"/>
        </w:numPr>
        <w:tabs>
          <w:tab w:val="clear" w:pos="432"/>
          <w:tab w:val="left" w:pos="709"/>
        </w:tabs>
        <w:ind w:left="993" w:hanging="426"/>
        <w:rPr>
          <w:sz w:val="22"/>
          <w:szCs w:val="22"/>
        </w:rPr>
      </w:pPr>
      <w:r>
        <w:rPr>
          <w:sz w:val="22"/>
          <w:szCs w:val="22"/>
        </w:rPr>
        <w:t>on 10 December 2018, t</w:t>
      </w:r>
      <w:r w:rsidR="000D3BD5">
        <w:rPr>
          <w:sz w:val="22"/>
          <w:szCs w:val="22"/>
        </w:rPr>
        <w:t xml:space="preserve">he </w:t>
      </w:r>
      <w:r w:rsidR="00B84871" w:rsidRPr="000D3BD5">
        <w:rPr>
          <w:sz w:val="22"/>
          <w:szCs w:val="22"/>
        </w:rPr>
        <w:t xml:space="preserve">Permit Applicant </w:t>
      </w:r>
      <w:r>
        <w:rPr>
          <w:sz w:val="22"/>
          <w:szCs w:val="22"/>
        </w:rPr>
        <w:t>requested</w:t>
      </w:r>
      <w:r w:rsidR="00B84871" w:rsidRPr="000D3BD5">
        <w:rPr>
          <w:sz w:val="22"/>
          <w:szCs w:val="22"/>
        </w:rPr>
        <w:t xml:space="preserve"> </w:t>
      </w:r>
      <w:r>
        <w:rPr>
          <w:sz w:val="22"/>
          <w:szCs w:val="22"/>
        </w:rPr>
        <w:t>a review of the Determination</w:t>
      </w:r>
      <w:r w:rsidR="000D3BD5">
        <w:rPr>
          <w:sz w:val="22"/>
          <w:szCs w:val="22"/>
        </w:rPr>
        <w:t>.</w:t>
      </w:r>
    </w:p>
    <w:p w14:paraId="4711C1DD" w14:textId="6F86631A" w:rsidR="00055180" w:rsidRPr="003F56C0" w:rsidRDefault="00055180" w:rsidP="004F5F06">
      <w:pPr>
        <w:pStyle w:val="BP2"/>
        <w:numPr>
          <w:ilvl w:val="0"/>
          <w:numId w:val="3"/>
        </w:numPr>
        <w:tabs>
          <w:tab w:val="clear" w:pos="432"/>
          <w:tab w:val="left" w:pos="709"/>
        </w:tabs>
        <w:ind w:left="567" w:hanging="567"/>
        <w:rPr>
          <w:sz w:val="22"/>
          <w:szCs w:val="22"/>
        </w:rPr>
      </w:pPr>
      <w:r>
        <w:rPr>
          <w:sz w:val="22"/>
          <w:szCs w:val="22"/>
        </w:rPr>
        <w:t>O</w:t>
      </w:r>
      <w:r w:rsidRPr="00762C2F">
        <w:rPr>
          <w:sz w:val="22"/>
          <w:szCs w:val="22"/>
        </w:rPr>
        <w:t xml:space="preserve">n </w:t>
      </w:r>
      <w:r w:rsidR="003F56C0">
        <w:rPr>
          <w:sz w:val="22"/>
          <w:szCs w:val="22"/>
        </w:rPr>
        <w:t>the Commencement Day</w:t>
      </w:r>
      <w:r>
        <w:rPr>
          <w:sz w:val="22"/>
          <w:szCs w:val="22"/>
        </w:rPr>
        <w:t xml:space="preserve">, </w:t>
      </w:r>
      <w:r w:rsidRPr="00055180">
        <w:rPr>
          <w:sz w:val="22"/>
          <w:szCs w:val="22"/>
        </w:rPr>
        <w:t>the appeal provisions in section</w:t>
      </w:r>
      <w:r w:rsidR="0087733E">
        <w:rPr>
          <w:sz w:val="22"/>
          <w:szCs w:val="22"/>
        </w:rPr>
        <w:t>s</w:t>
      </w:r>
      <w:r w:rsidRPr="00055180">
        <w:rPr>
          <w:sz w:val="22"/>
          <w:szCs w:val="22"/>
        </w:rPr>
        <w:t xml:space="preserve"> 75 </w:t>
      </w:r>
      <w:r w:rsidR="008278F4">
        <w:rPr>
          <w:sz w:val="22"/>
          <w:szCs w:val="22"/>
        </w:rPr>
        <w:t>and 76</w:t>
      </w:r>
      <w:r w:rsidR="0087733E">
        <w:rPr>
          <w:sz w:val="22"/>
          <w:szCs w:val="22"/>
        </w:rPr>
        <w:t xml:space="preserve"> </w:t>
      </w:r>
      <w:r w:rsidRPr="00055180">
        <w:rPr>
          <w:sz w:val="22"/>
          <w:szCs w:val="22"/>
        </w:rPr>
        <w:t xml:space="preserve">of the 1995 Act were repealed (subject to </w:t>
      </w:r>
      <w:r w:rsidR="00DC5274">
        <w:rPr>
          <w:sz w:val="22"/>
          <w:szCs w:val="22"/>
        </w:rPr>
        <w:t>the transitional arrangements</w:t>
      </w:r>
      <w:r>
        <w:rPr>
          <w:sz w:val="22"/>
          <w:szCs w:val="22"/>
        </w:rPr>
        <w:t xml:space="preserve"> described below</w:t>
      </w:r>
      <w:r w:rsidRPr="00055180">
        <w:rPr>
          <w:sz w:val="22"/>
          <w:szCs w:val="22"/>
        </w:rPr>
        <w:t>)</w:t>
      </w:r>
      <w:r>
        <w:rPr>
          <w:sz w:val="22"/>
          <w:szCs w:val="22"/>
        </w:rPr>
        <w:t xml:space="preserve">, and </w:t>
      </w:r>
      <w:r w:rsidRPr="00055180">
        <w:rPr>
          <w:sz w:val="22"/>
          <w:szCs w:val="22"/>
        </w:rPr>
        <w:t xml:space="preserve">new </w:t>
      </w:r>
      <w:r w:rsidR="003F56C0">
        <w:rPr>
          <w:sz w:val="22"/>
          <w:szCs w:val="22"/>
        </w:rPr>
        <w:t xml:space="preserve">review </w:t>
      </w:r>
      <w:r w:rsidRPr="00055180">
        <w:rPr>
          <w:sz w:val="22"/>
          <w:szCs w:val="22"/>
        </w:rPr>
        <w:t xml:space="preserve">provisions </w:t>
      </w:r>
      <w:r w:rsidR="003F56C0">
        <w:rPr>
          <w:sz w:val="22"/>
          <w:szCs w:val="22"/>
        </w:rPr>
        <w:t>in sections 106 to 108 of the 2017 Act commenced operation.</w:t>
      </w:r>
    </w:p>
    <w:p w14:paraId="67D703F9" w14:textId="4F24D0B5" w:rsidR="004131FE" w:rsidRDefault="0087744F" w:rsidP="004F5F06">
      <w:pPr>
        <w:pStyle w:val="BP2"/>
        <w:numPr>
          <w:ilvl w:val="0"/>
          <w:numId w:val="3"/>
        </w:numPr>
        <w:tabs>
          <w:tab w:val="clear" w:pos="432"/>
          <w:tab w:val="left" w:pos="709"/>
        </w:tabs>
        <w:ind w:left="567" w:hanging="567"/>
        <w:rPr>
          <w:sz w:val="22"/>
          <w:szCs w:val="22"/>
        </w:rPr>
      </w:pPr>
      <w:r w:rsidRPr="007E52FD">
        <w:rPr>
          <w:sz w:val="22"/>
          <w:szCs w:val="22"/>
        </w:rPr>
        <w:t>Section 27</w:t>
      </w:r>
      <w:r w:rsidR="0034187C">
        <w:rPr>
          <w:sz w:val="22"/>
          <w:szCs w:val="22"/>
        </w:rPr>
        <w:t>0</w:t>
      </w:r>
      <w:r w:rsidR="000D3BD5" w:rsidRPr="007E52FD">
        <w:rPr>
          <w:sz w:val="22"/>
          <w:szCs w:val="22"/>
        </w:rPr>
        <w:t xml:space="preserve"> of the 2017 Act </w:t>
      </w:r>
      <w:r w:rsidRPr="007E52FD">
        <w:rPr>
          <w:sz w:val="22"/>
          <w:szCs w:val="22"/>
        </w:rPr>
        <w:t>contain</w:t>
      </w:r>
      <w:r w:rsidR="008278F4">
        <w:rPr>
          <w:sz w:val="22"/>
          <w:szCs w:val="22"/>
        </w:rPr>
        <w:t>s</w:t>
      </w:r>
      <w:r w:rsidR="000D3BD5" w:rsidRPr="007E52FD">
        <w:rPr>
          <w:sz w:val="22"/>
          <w:szCs w:val="22"/>
        </w:rPr>
        <w:t xml:space="preserve"> transitional provisions for the continued application of the 1995 Act </w:t>
      </w:r>
      <w:r w:rsidR="00B546AE" w:rsidRPr="007E52FD">
        <w:rPr>
          <w:sz w:val="22"/>
          <w:szCs w:val="22"/>
        </w:rPr>
        <w:t xml:space="preserve">in relation </w:t>
      </w:r>
      <w:r w:rsidR="000D3BD5" w:rsidRPr="007E52FD">
        <w:rPr>
          <w:sz w:val="22"/>
          <w:szCs w:val="22"/>
        </w:rPr>
        <w:t xml:space="preserve">to </w:t>
      </w:r>
      <w:r w:rsidR="004131FE">
        <w:rPr>
          <w:sz w:val="22"/>
          <w:szCs w:val="22"/>
        </w:rPr>
        <w:t xml:space="preserve">a </w:t>
      </w:r>
      <w:r w:rsidR="0087733E">
        <w:rPr>
          <w:sz w:val="22"/>
          <w:szCs w:val="22"/>
        </w:rPr>
        <w:t xml:space="preserve">certain </w:t>
      </w:r>
      <w:r w:rsidR="004131FE">
        <w:rPr>
          <w:sz w:val="22"/>
          <w:szCs w:val="22"/>
        </w:rPr>
        <w:t xml:space="preserve">class of </w:t>
      </w:r>
      <w:r w:rsidR="0034187C">
        <w:rPr>
          <w:sz w:val="22"/>
          <w:szCs w:val="22"/>
        </w:rPr>
        <w:t>permit applications</w:t>
      </w:r>
      <w:r w:rsidR="00B546AE" w:rsidRPr="007E52FD">
        <w:rPr>
          <w:sz w:val="22"/>
          <w:szCs w:val="22"/>
        </w:rPr>
        <w:t xml:space="preserve">. </w:t>
      </w:r>
    </w:p>
    <w:p w14:paraId="656334ED" w14:textId="3200D9FF" w:rsidR="007E52FD" w:rsidRPr="008278F4" w:rsidRDefault="0034187C" w:rsidP="004F5F06">
      <w:pPr>
        <w:pStyle w:val="BP2"/>
        <w:numPr>
          <w:ilvl w:val="0"/>
          <w:numId w:val="3"/>
        </w:numPr>
        <w:tabs>
          <w:tab w:val="clear" w:pos="432"/>
          <w:tab w:val="left" w:pos="709"/>
        </w:tabs>
        <w:ind w:left="567" w:hanging="567"/>
        <w:rPr>
          <w:sz w:val="22"/>
          <w:szCs w:val="22"/>
        </w:rPr>
      </w:pPr>
      <w:r>
        <w:rPr>
          <w:sz w:val="22"/>
          <w:szCs w:val="22"/>
        </w:rPr>
        <w:t xml:space="preserve">Section 272 of the 2017 Act contains transitional provisions for the continued application of the 1995 Act in relation to </w:t>
      </w:r>
      <w:r w:rsidR="004131FE">
        <w:rPr>
          <w:sz w:val="22"/>
          <w:szCs w:val="22"/>
        </w:rPr>
        <w:t xml:space="preserve">a certain class of </w:t>
      </w:r>
      <w:r w:rsidR="007E52FD" w:rsidRPr="008278F4">
        <w:rPr>
          <w:sz w:val="22"/>
          <w:szCs w:val="22"/>
        </w:rPr>
        <w:t>appeal</w:t>
      </w:r>
      <w:r>
        <w:rPr>
          <w:sz w:val="22"/>
          <w:szCs w:val="22"/>
        </w:rPr>
        <w:t>s</w:t>
      </w:r>
      <w:r w:rsidR="004131FE">
        <w:rPr>
          <w:sz w:val="22"/>
          <w:szCs w:val="22"/>
        </w:rPr>
        <w:t>, namely those</w:t>
      </w:r>
      <w:r w:rsidR="007E52FD" w:rsidRPr="008278F4">
        <w:rPr>
          <w:sz w:val="22"/>
          <w:szCs w:val="22"/>
        </w:rPr>
        <w:t xml:space="preserve"> </w:t>
      </w:r>
      <w:r>
        <w:rPr>
          <w:sz w:val="22"/>
          <w:szCs w:val="22"/>
        </w:rPr>
        <w:t xml:space="preserve">that had </w:t>
      </w:r>
      <w:r w:rsidR="007E52FD" w:rsidRPr="008278F4">
        <w:rPr>
          <w:sz w:val="22"/>
          <w:szCs w:val="22"/>
        </w:rPr>
        <w:t>been lodged under section 75 of the 1995 Act but ha</w:t>
      </w:r>
      <w:r>
        <w:rPr>
          <w:sz w:val="22"/>
          <w:szCs w:val="22"/>
        </w:rPr>
        <w:t>d</w:t>
      </w:r>
      <w:r w:rsidR="007E52FD" w:rsidRPr="008278F4">
        <w:rPr>
          <w:sz w:val="22"/>
          <w:szCs w:val="22"/>
        </w:rPr>
        <w:t xml:space="preserve"> not been determined by the Heritage Council before the Commencement Day</w:t>
      </w:r>
      <w:r>
        <w:rPr>
          <w:sz w:val="22"/>
          <w:szCs w:val="22"/>
        </w:rPr>
        <w:t>.</w:t>
      </w:r>
    </w:p>
    <w:p w14:paraId="6B1DFFD8" w14:textId="08D5333A" w:rsidR="0087733E" w:rsidRDefault="00DC5274" w:rsidP="004F5F06">
      <w:pPr>
        <w:pStyle w:val="BP2"/>
        <w:numPr>
          <w:ilvl w:val="0"/>
          <w:numId w:val="3"/>
        </w:numPr>
        <w:tabs>
          <w:tab w:val="clear" w:pos="432"/>
          <w:tab w:val="left" w:pos="709"/>
        </w:tabs>
        <w:ind w:left="567" w:hanging="567"/>
        <w:rPr>
          <w:sz w:val="22"/>
          <w:szCs w:val="22"/>
        </w:rPr>
      </w:pPr>
      <w:r>
        <w:rPr>
          <w:sz w:val="22"/>
          <w:szCs w:val="22"/>
        </w:rPr>
        <w:t>Notably, there are no</w:t>
      </w:r>
      <w:r w:rsidR="004471EC">
        <w:rPr>
          <w:sz w:val="22"/>
          <w:szCs w:val="22"/>
        </w:rPr>
        <w:t xml:space="preserve"> transitional provisions in the</w:t>
      </w:r>
      <w:r w:rsidR="001E19FC">
        <w:rPr>
          <w:sz w:val="22"/>
          <w:szCs w:val="22"/>
        </w:rPr>
        <w:t xml:space="preserve"> </w:t>
      </w:r>
      <w:r w:rsidR="007E52FD">
        <w:rPr>
          <w:sz w:val="22"/>
          <w:szCs w:val="22"/>
        </w:rPr>
        <w:t xml:space="preserve">2017 Act for the continued application of the </w:t>
      </w:r>
      <w:r w:rsidR="001E19FC">
        <w:rPr>
          <w:sz w:val="22"/>
          <w:szCs w:val="22"/>
        </w:rPr>
        <w:t xml:space="preserve">appeal provisions in </w:t>
      </w:r>
      <w:r w:rsidR="00F70AFA">
        <w:rPr>
          <w:sz w:val="22"/>
          <w:szCs w:val="22"/>
        </w:rPr>
        <w:t xml:space="preserve">the </w:t>
      </w:r>
      <w:r w:rsidR="007E52FD">
        <w:rPr>
          <w:sz w:val="22"/>
          <w:szCs w:val="22"/>
        </w:rPr>
        <w:t>1995 Act</w:t>
      </w:r>
      <w:r w:rsidR="001A183E">
        <w:rPr>
          <w:sz w:val="22"/>
          <w:szCs w:val="22"/>
        </w:rPr>
        <w:t xml:space="preserve"> </w:t>
      </w:r>
      <w:r w:rsidR="007E52FD">
        <w:rPr>
          <w:sz w:val="22"/>
          <w:szCs w:val="22"/>
        </w:rPr>
        <w:t>to</w:t>
      </w:r>
      <w:r w:rsidR="00762C2F">
        <w:rPr>
          <w:sz w:val="22"/>
          <w:szCs w:val="22"/>
        </w:rPr>
        <w:t xml:space="preserve"> </w:t>
      </w:r>
      <w:r w:rsidR="00F70AFA">
        <w:rPr>
          <w:sz w:val="22"/>
          <w:szCs w:val="22"/>
        </w:rPr>
        <w:t xml:space="preserve">permit applications determined by the Executive Director </w:t>
      </w:r>
      <w:r w:rsidR="00F70AFA" w:rsidRPr="00F70AFA">
        <w:rPr>
          <w:i/>
          <w:sz w:val="22"/>
          <w:szCs w:val="22"/>
        </w:rPr>
        <w:t>after</w:t>
      </w:r>
      <w:r w:rsidR="00F70AFA">
        <w:rPr>
          <w:sz w:val="22"/>
          <w:szCs w:val="22"/>
        </w:rPr>
        <w:t xml:space="preserve"> the Commencement Da</w:t>
      </w:r>
      <w:r w:rsidR="00CD194E">
        <w:rPr>
          <w:sz w:val="22"/>
          <w:szCs w:val="22"/>
        </w:rPr>
        <w:t>y.</w:t>
      </w:r>
      <w:r w:rsidR="0034187C">
        <w:rPr>
          <w:sz w:val="22"/>
          <w:szCs w:val="22"/>
        </w:rPr>
        <w:t xml:space="preserve"> It would only be if s 270 was intended to apply to a permit application even after it had been determined that the present circumstances would be </w:t>
      </w:r>
      <w:r w:rsidR="004131FE">
        <w:rPr>
          <w:sz w:val="22"/>
          <w:szCs w:val="22"/>
        </w:rPr>
        <w:t xml:space="preserve">subject to </w:t>
      </w:r>
      <w:r w:rsidR="0034187C">
        <w:rPr>
          <w:sz w:val="22"/>
          <w:szCs w:val="22"/>
        </w:rPr>
        <w:t>the transitional provisions of the 2017 Act.</w:t>
      </w:r>
    </w:p>
    <w:p w14:paraId="6726E772" w14:textId="58254AEF" w:rsidR="007E52FD" w:rsidRPr="0087733E" w:rsidRDefault="00396CE6" w:rsidP="004F5F06">
      <w:pPr>
        <w:pStyle w:val="BP2"/>
        <w:numPr>
          <w:ilvl w:val="0"/>
          <w:numId w:val="3"/>
        </w:numPr>
        <w:tabs>
          <w:tab w:val="clear" w:pos="432"/>
          <w:tab w:val="left" w:pos="709"/>
        </w:tabs>
        <w:ind w:left="567" w:hanging="567"/>
        <w:rPr>
          <w:sz w:val="22"/>
          <w:szCs w:val="22"/>
        </w:rPr>
      </w:pPr>
      <w:r w:rsidRPr="00D9258F">
        <w:rPr>
          <w:sz w:val="22"/>
          <w:szCs w:val="22"/>
        </w:rPr>
        <w:t xml:space="preserve">Having regard to the above, the Committee ruled </w:t>
      </w:r>
      <w:r w:rsidR="00EA446E" w:rsidRPr="00D9258F">
        <w:rPr>
          <w:sz w:val="22"/>
          <w:szCs w:val="22"/>
        </w:rPr>
        <w:t xml:space="preserve">that </w:t>
      </w:r>
      <w:r w:rsidR="0034187C">
        <w:rPr>
          <w:sz w:val="22"/>
          <w:szCs w:val="22"/>
        </w:rPr>
        <w:t xml:space="preserve">none of the transitional provisions apply, and that </w:t>
      </w:r>
      <w:r w:rsidR="00055180">
        <w:rPr>
          <w:sz w:val="22"/>
          <w:szCs w:val="22"/>
        </w:rPr>
        <w:t xml:space="preserve">the Review is to be determined under </w:t>
      </w:r>
      <w:r w:rsidR="0087733E">
        <w:rPr>
          <w:sz w:val="22"/>
          <w:szCs w:val="22"/>
        </w:rPr>
        <w:t>section 108 of the 2017 Act</w:t>
      </w:r>
      <w:r w:rsidR="0034187C">
        <w:rPr>
          <w:sz w:val="22"/>
          <w:szCs w:val="22"/>
        </w:rPr>
        <w:t>.</w:t>
      </w:r>
      <w:r w:rsidR="0087733E">
        <w:rPr>
          <w:sz w:val="22"/>
          <w:szCs w:val="22"/>
        </w:rPr>
        <w:t xml:space="preserve"> </w:t>
      </w:r>
      <w:r w:rsidR="0034187C">
        <w:rPr>
          <w:sz w:val="22"/>
          <w:szCs w:val="22"/>
        </w:rPr>
        <w:t>T</w:t>
      </w:r>
      <w:r w:rsidR="0087733E">
        <w:rPr>
          <w:sz w:val="22"/>
          <w:szCs w:val="22"/>
        </w:rPr>
        <w:t>h</w:t>
      </w:r>
      <w:r w:rsidR="00E95367">
        <w:rPr>
          <w:sz w:val="22"/>
          <w:szCs w:val="22"/>
        </w:rPr>
        <w:t xml:space="preserve">is ruling was </w:t>
      </w:r>
      <w:r w:rsidR="004131FE">
        <w:rPr>
          <w:sz w:val="22"/>
          <w:szCs w:val="22"/>
        </w:rPr>
        <w:t xml:space="preserve">supported by </w:t>
      </w:r>
      <w:r w:rsidR="00E95367">
        <w:rPr>
          <w:sz w:val="22"/>
          <w:szCs w:val="22"/>
        </w:rPr>
        <w:t>the</w:t>
      </w:r>
      <w:r w:rsidR="0087733E">
        <w:rPr>
          <w:sz w:val="22"/>
          <w:szCs w:val="22"/>
        </w:rPr>
        <w:t xml:space="preserve"> following reasons:</w:t>
      </w:r>
    </w:p>
    <w:p w14:paraId="5FE91110" w14:textId="31796BE2" w:rsidR="00E95367" w:rsidRDefault="00E95367" w:rsidP="004F5F06">
      <w:pPr>
        <w:pStyle w:val="BP2"/>
        <w:numPr>
          <w:ilvl w:val="0"/>
          <w:numId w:val="28"/>
        </w:numPr>
        <w:ind w:left="993" w:hanging="426"/>
        <w:rPr>
          <w:sz w:val="22"/>
          <w:szCs w:val="22"/>
        </w:rPr>
      </w:pPr>
      <w:r>
        <w:rPr>
          <w:sz w:val="22"/>
          <w:szCs w:val="22"/>
        </w:rPr>
        <w:t>The Application fell within the scope of section 270(1) of the 2017 Act, and section 270(2) had the effect of requiring the Executive Director to determine the Application in accordance with the 1995 Act (</w:t>
      </w:r>
      <w:r w:rsidR="004131FE">
        <w:rPr>
          <w:sz w:val="22"/>
          <w:szCs w:val="22"/>
        </w:rPr>
        <w:t>and the Executive Director duly did so</w:t>
      </w:r>
      <w:r>
        <w:rPr>
          <w:sz w:val="22"/>
          <w:szCs w:val="22"/>
        </w:rPr>
        <w:t xml:space="preserve">). </w:t>
      </w:r>
      <w:proofErr w:type="gramStart"/>
      <w:r>
        <w:rPr>
          <w:sz w:val="22"/>
          <w:szCs w:val="22"/>
        </w:rPr>
        <w:t>However</w:t>
      </w:r>
      <w:proofErr w:type="gramEnd"/>
      <w:r>
        <w:rPr>
          <w:sz w:val="22"/>
          <w:szCs w:val="22"/>
        </w:rPr>
        <w:t xml:space="preserve"> it is not apparent that the 270(1) and (2) were intended to continue to apply to a relevant permit application after its determination by the Executive Director.</w:t>
      </w:r>
    </w:p>
    <w:p w14:paraId="3CEF41ED" w14:textId="7D1A0375" w:rsidR="00E95367" w:rsidRDefault="00E95367" w:rsidP="004F5F06">
      <w:pPr>
        <w:pStyle w:val="BP2"/>
        <w:numPr>
          <w:ilvl w:val="0"/>
          <w:numId w:val="28"/>
        </w:numPr>
        <w:ind w:left="993" w:hanging="426"/>
        <w:rPr>
          <w:sz w:val="22"/>
          <w:szCs w:val="22"/>
        </w:rPr>
      </w:pPr>
      <w:r>
        <w:rPr>
          <w:sz w:val="22"/>
          <w:szCs w:val="22"/>
        </w:rPr>
        <w:t>Section 270(3) of the 2017 Act, which might be expected to have resolved that question, is confusing</w:t>
      </w:r>
      <w:r w:rsidR="004131FE">
        <w:rPr>
          <w:sz w:val="22"/>
          <w:szCs w:val="22"/>
        </w:rPr>
        <w:t>. It is difficult to apply or interpret</w:t>
      </w:r>
      <w:r>
        <w:rPr>
          <w:sz w:val="22"/>
          <w:szCs w:val="22"/>
        </w:rPr>
        <w:t>.</w:t>
      </w:r>
    </w:p>
    <w:p w14:paraId="461EA1EF" w14:textId="2AF8A4E7" w:rsidR="007E52FD" w:rsidRDefault="0087733E" w:rsidP="004F5F06">
      <w:pPr>
        <w:pStyle w:val="BP2"/>
        <w:numPr>
          <w:ilvl w:val="0"/>
          <w:numId w:val="28"/>
        </w:numPr>
        <w:ind w:left="993" w:hanging="426"/>
        <w:rPr>
          <w:sz w:val="22"/>
          <w:szCs w:val="22"/>
        </w:rPr>
      </w:pPr>
      <w:r>
        <w:rPr>
          <w:sz w:val="22"/>
          <w:szCs w:val="22"/>
        </w:rPr>
        <w:lastRenderedPageBreak/>
        <w:t>The</w:t>
      </w:r>
      <w:r w:rsidR="00E54CDB">
        <w:rPr>
          <w:sz w:val="22"/>
          <w:szCs w:val="22"/>
        </w:rPr>
        <w:t xml:space="preserve"> transitional arrangements in section 27</w:t>
      </w:r>
      <w:r w:rsidR="00E95367">
        <w:rPr>
          <w:sz w:val="22"/>
          <w:szCs w:val="22"/>
        </w:rPr>
        <w:t>2</w:t>
      </w:r>
      <w:r w:rsidR="00E54CDB">
        <w:rPr>
          <w:sz w:val="22"/>
          <w:szCs w:val="22"/>
        </w:rPr>
        <w:t xml:space="preserve"> of the 2017 Act apply </w:t>
      </w:r>
      <w:r w:rsidR="00CD194E">
        <w:rPr>
          <w:sz w:val="22"/>
          <w:szCs w:val="22"/>
        </w:rPr>
        <w:t>only to</w:t>
      </w:r>
      <w:r w:rsidR="00E54CDB">
        <w:rPr>
          <w:sz w:val="22"/>
          <w:szCs w:val="22"/>
        </w:rPr>
        <w:t xml:space="preserve"> appeal</w:t>
      </w:r>
      <w:r w:rsidR="00CD194E">
        <w:rPr>
          <w:sz w:val="22"/>
          <w:szCs w:val="22"/>
        </w:rPr>
        <w:t>s</w:t>
      </w:r>
      <w:r w:rsidR="00E54CDB">
        <w:rPr>
          <w:sz w:val="22"/>
          <w:szCs w:val="22"/>
        </w:rPr>
        <w:t xml:space="preserve"> </w:t>
      </w:r>
      <w:r w:rsidR="00E95367">
        <w:rPr>
          <w:sz w:val="22"/>
          <w:szCs w:val="22"/>
        </w:rPr>
        <w:t xml:space="preserve">that had been lodged </w:t>
      </w:r>
      <w:r w:rsidR="00E54CDB">
        <w:rPr>
          <w:sz w:val="22"/>
          <w:szCs w:val="22"/>
        </w:rPr>
        <w:t xml:space="preserve">under section 75 of the 1995 Act </w:t>
      </w:r>
      <w:r w:rsidR="00E54CDB" w:rsidRPr="00E54CDB">
        <w:rPr>
          <w:i/>
          <w:sz w:val="22"/>
          <w:szCs w:val="22"/>
        </w:rPr>
        <w:t>before</w:t>
      </w:r>
      <w:r w:rsidR="00E54CDB">
        <w:rPr>
          <w:sz w:val="22"/>
          <w:szCs w:val="22"/>
        </w:rPr>
        <w:t xml:space="preserve"> the Commencement Day. </w:t>
      </w:r>
      <w:r w:rsidR="00CD194E">
        <w:rPr>
          <w:sz w:val="22"/>
          <w:szCs w:val="22"/>
        </w:rPr>
        <w:t>As t</w:t>
      </w:r>
      <w:r w:rsidR="00E54CDB">
        <w:rPr>
          <w:sz w:val="22"/>
          <w:szCs w:val="22"/>
        </w:rPr>
        <w:t xml:space="preserve">he Permit Applicant requested a review of the Determination </w:t>
      </w:r>
      <w:r w:rsidR="00E54CDB" w:rsidRPr="0085268D">
        <w:rPr>
          <w:i/>
          <w:sz w:val="22"/>
          <w:szCs w:val="22"/>
        </w:rPr>
        <w:t>after</w:t>
      </w:r>
      <w:r w:rsidR="00E54CDB">
        <w:rPr>
          <w:sz w:val="22"/>
          <w:szCs w:val="22"/>
        </w:rPr>
        <w:t xml:space="preserve"> the Commencement Da</w:t>
      </w:r>
      <w:r w:rsidR="00DC5274">
        <w:rPr>
          <w:sz w:val="22"/>
          <w:szCs w:val="22"/>
        </w:rPr>
        <w:t>y</w:t>
      </w:r>
      <w:r w:rsidR="00CD194E">
        <w:rPr>
          <w:sz w:val="22"/>
          <w:szCs w:val="22"/>
        </w:rPr>
        <w:t>, these transitional arrangements do not apply.</w:t>
      </w:r>
    </w:p>
    <w:p w14:paraId="20372BDD" w14:textId="4CB6CE68" w:rsidR="007E52FD" w:rsidRDefault="00E95367" w:rsidP="004F5F06">
      <w:pPr>
        <w:pStyle w:val="BP2"/>
        <w:numPr>
          <w:ilvl w:val="0"/>
          <w:numId w:val="28"/>
        </w:numPr>
        <w:ind w:left="993" w:hanging="426"/>
        <w:rPr>
          <w:sz w:val="22"/>
          <w:szCs w:val="22"/>
        </w:rPr>
      </w:pPr>
      <w:r>
        <w:rPr>
          <w:sz w:val="22"/>
          <w:szCs w:val="22"/>
        </w:rPr>
        <w:t>T</w:t>
      </w:r>
      <w:r w:rsidR="00E54CDB">
        <w:rPr>
          <w:sz w:val="22"/>
          <w:szCs w:val="22"/>
        </w:rPr>
        <w:t>here are no other express transitional provisions in the 2017 Act that provide for the continued application of the appeal provisions in</w:t>
      </w:r>
      <w:r w:rsidR="00DC5274">
        <w:rPr>
          <w:sz w:val="22"/>
          <w:szCs w:val="22"/>
        </w:rPr>
        <w:t xml:space="preserve"> </w:t>
      </w:r>
      <w:r w:rsidR="00E54CDB">
        <w:rPr>
          <w:sz w:val="22"/>
          <w:szCs w:val="22"/>
        </w:rPr>
        <w:t>the 1995 Act</w:t>
      </w:r>
      <w:r w:rsidR="00CD194E">
        <w:rPr>
          <w:sz w:val="22"/>
          <w:szCs w:val="22"/>
        </w:rPr>
        <w:t xml:space="preserve"> to determinations made by the Executive Director </w:t>
      </w:r>
      <w:r>
        <w:rPr>
          <w:sz w:val="22"/>
          <w:szCs w:val="22"/>
        </w:rPr>
        <w:t>after the Commencement Day</w:t>
      </w:r>
      <w:r w:rsidR="00CD194E">
        <w:rPr>
          <w:sz w:val="22"/>
          <w:szCs w:val="22"/>
        </w:rPr>
        <w:t>.</w:t>
      </w:r>
    </w:p>
    <w:p w14:paraId="0268B1D0" w14:textId="1617B5A2" w:rsidR="00E54CDB" w:rsidRDefault="00E95367" w:rsidP="004F5F06">
      <w:pPr>
        <w:pStyle w:val="BP2"/>
        <w:numPr>
          <w:ilvl w:val="0"/>
          <w:numId w:val="28"/>
        </w:numPr>
        <w:ind w:left="993" w:hanging="426"/>
        <w:rPr>
          <w:sz w:val="22"/>
          <w:szCs w:val="22"/>
        </w:rPr>
      </w:pPr>
      <w:r>
        <w:rPr>
          <w:sz w:val="22"/>
          <w:szCs w:val="22"/>
        </w:rPr>
        <w:t>B</w:t>
      </w:r>
      <w:r w:rsidR="00DC5274">
        <w:rPr>
          <w:sz w:val="22"/>
          <w:szCs w:val="22"/>
        </w:rPr>
        <w:t xml:space="preserve">ecause </w:t>
      </w:r>
      <w:r w:rsidR="00A50D97">
        <w:rPr>
          <w:sz w:val="22"/>
          <w:szCs w:val="22"/>
        </w:rPr>
        <w:t>section 75 of the 1995 Act was no longer in force</w:t>
      </w:r>
      <w:r w:rsidR="004131FE">
        <w:rPr>
          <w:sz w:val="22"/>
          <w:szCs w:val="22"/>
        </w:rPr>
        <w:t xml:space="preserve"> after the Executive Director’s refusal of the Application</w:t>
      </w:r>
      <w:r w:rsidR="00A50D97">
        <w:rPr>
          <w:sz w:val="22"/>
          <w:szCs w:val="22"/>
        </w:rPr>
        <w:t xml:space="preserve">, </w:t>
      </w:r>
      <w:r w:rsidR="00CD194E">
        <w:rPr>
          <w:sz w:val="22"/>
          <w:szCs w:val="22"/>
        </w:rPr>
        <w:t xml:space="preserve">the only avenue available to the Permit Applicant to request </w:t>
      </w:r>
      <w:r w:rsidR="00A50D97">
        <w:rPr>
          <w:sz w:val="22"/>
          <w:szCs w:val="22"/>
        </w:rPr>
        <w:t>a review of th</w:t>
      </w:r>
      <w:r w:rsidR="004131FE">
        <w:rPr>
          <w:sz w:val="22"/>
          <w:szCs w:val="22"/>
        </w:rPr>
        <w:t>at</w:t>
      </w:r>
      <w:r w:rsidR="00CD194E">
        <w:rPr>
          <w:sz w:val="22"/>
          <w:szCs w:val="22"/>
        </w:rPr>
        <w:t xml:space="preserve"> Determination </w:t>
      </w:r>
      <w:r w:rsidR="00A50D97">
        <w:rPr>
          <w:sz w:val="22"/>
          <w:szCs w:val="22"/>
        </w:rPr>
        <w:t>was</w:t>
      </w:r>
      <w:r w:rsidR="00CD194E">
        <w:rPr>
          <w:sz w:val="22"/>
          <w:szCs w:val="22"/>
        </w:rPr>
        <w:t xml:space="preserve"> by making a request under section </w:t>
      </w:r>
      <w:r w:rsidR="00A50D97">
        <w:rPr>
          <w:sz w:val="22"/>
          <w:szCs w:val="22"/>
        </w:rPr>
        <w:t>106 of the 2017 Act</w:t>
      </w:r>
      <w:r w:rsidR="004131FE">
        <w:rPr>
          <w:sz w:val="22"/>
          <w:szCs w:val="22"/>
        </w:rPr>
        <w:t xml:space="preserve"> (which the Permit Applicant duly did)</w:t>
      </w:r>
      <w:r w:rsidR="00DC5274">
        <w:rPr>
          <w:sz w:val="22"/>
          <w:szCs w:val="22"/>
        </w:rPr>
        <w:t>.</w:t>
      </w:r>
    </w:p>
    <w:p w14:paraId="02E18CAD" w14:textId="22F62494" w:rsidR="00A50D97" w:rsidRDefault="004131FE" w:rsidP="004C0D23">
      <w:pPr>
        <w:pStyle w:val="BP2"/>
        <w:numPr>
          <w:ilvl w:val="0"/>
          <w:numId w:val="28"/>
        </w:numPr>
        <w:ind w:left="993" w:hanging="426"/>
        <w:rPr>
          <w:sz w:val="22"/>
          <w:szCs w:val="22"/>
        </w:rPr>
      </w:pPr>
      <w:r>
        <w:rPr>
          <w:sz w:val="22"/>
          <w:szCs w:val="22"/>
        </w:rPr>
        <w:t>Given that the Review was brought pursuant to a provision the 2017 Act, it would be surprising for that Review to be deemed to be subject to the provisions of the 1995 Act, and there is no transitional provision which clearly seeks that effect.</w:t>
      </w:r>
    </w:p>
    <w:p w14:paraId="5C9517F4" w14:textId="31DD028B" w:rsidR="004131FE" w:rsidRDefault="004131FE" w:rsidP="004C0D23">
      <w:pPr>
        <w:pStyle w:val="BP2"/>
        <w:numPr>
          <w:ilvl w:val="0"/>
          <w:numId w:val="28"/>
        </w:numPr>
        <w:ind w:left="993" w:hanging="426"/>
        <w:rPr>
          <w:sz w:val="22"/>
          <w:szCs w:val="22"/>
        </w:rPr>
      </w:pPr>
      <w:r>
        <w:rPr>
          <w:sz w:val="22"/>
          <w:szCs w:val="22"/>
        </w:rPr>
        <w:t>If the Parliament had intended the Review to be subject to the 1995 Act, section 272 of the New Act could have made this clear. Instead, section 272 was drafted to distinguish appeals lodged under the 1995 Act from reviews lodged under the 2017 Act.</w:t>
      </w:r>
    </w:p>
    <w:p w14:paraId="0B6F16B8" w14:textId="57E5FD08" w:rsidR="00A50D97" w:rsidRDefault="004131FE" w:rsidP="004C0D23">
      <w:pPr>
        <w:pStyle w:val="BP2"/>
        <w:numPr>
          <w:ilvl w:val="0"/>
          <w:numId w:val="3"/>
        </w:numPr>
        <w:tabs>
          <w:tab w:val="clear" w:pos="432"/>
          <w:tab w:val="left" w:pos="709"/>
        </w:tabs>
        <w:ind w:left="567" w:hanging="567"/>
        <w:rPr>
          <w:sz w:val="22"/>
          <w:szCs w:val="22"/>
        </w:rPr>
      </w:pPr>
      <w:bookmarkStart w:id="9" w:name="_Ref10619045"/>
      <w:r>
        <w:rPr>
          <w:sz w:val="22"/>
          <w:szCs w:val="22"/>
        </w:rPr>
        <w:t>It follows that, u</w:t>
      </w:r>
      <w:r w:rsidR="00DC5274">
        <w:rPr>
          <w:sz w:val="22"/>
          <w:szCs w:val="22"/>
        </w:rPr>
        <w:t xml:space="preserve">nder section 108(8) of the 2017 Act, the Committee must consider the matters set out in section 101(2) of the 2017 Act (see </w:t>
      </w:r>
      <w:r w:rsidR="00DC5274" w:rsidRPr="00DC5274">
        <w:rPr>
          <w:b/>
          <w:sz w:val="22"/>
          <w:szCs w:val="22"/>
        </w:rPr>
        <w:t>Attachment 1</w:t>
      </w:r>
      <w:r w:rsidR="00DC5274">
        <w:rPr>
          <w:sz w:val="22"/>
          <w:szCs w:val="22"/>
        </w:rPr>
        <w:t>).</w:t>
      </w:r>
      <w:r w:rsidR="00CD6749">
        <w:rPr>
          <w:sz w:val="22"/>
          <w:szCs w:val="22"/>
        </w:rPr>
        <w:t xml:space="preserve"> </w:t>
      </w:r>
      <w:r w:rsidR="00890A6B">
        <w:rPr>
          <w:sz w:val="22"/>
          <w:szCs w:val="22"/>
        </w:rPr>
        <w:t>T</w:t>
      </w:r>
      <w:r w:rsidR="00CD6749">
        <w:rPr>
          <w:sz w:val="22"/>
          <w:szCs w:val="22"/>
        </w:rPr>
        <w:t>he Committee has considered th</w:t>
      </w:r>
      <w:r w:rsidR="00890A6B">
        <w:rPr>
          <w:sz w:val="22"/>
          <w:szCs w:val="22"/>
        </w:rPr>
        <w:t>e</w:t>
      </w:r>
      <w:r w:rsidR="00CD6749">
        <w:rPr>
          <w:sz w:val="22"/>
          <w:szCs w:val="22"/>
        </w:rPr>
        <w:t>se matters in determining this Review.</w:t>
      </w:r>
      <w:bookmarkEnd w:id="9"/>
    </w:p>
    <w:p w14:paraId="10F97E4C" w14:textId="5EF3E670" w:rsidR="0065667C" w:rsidRPr="00844234" w:rsidRDefault="009F7412" w:rsidP="00EB2F82">
      <w:pPr>
        <w:pStyle w:val="BP2"/>
        <w:spacing w:before="240" w:after="240"/>
        <w:jc w:val="both"/>
        <w:rPr>
          <w:bCs/>
          <w:i/>
          <w:spacing w:val="-1"/>
          <w:sz w:val="22"/>
          <w:szCs w:val="22"/>
        </w:rPr>
      </w:pPr>
      <w:r w:rsidRPr="00844234">
        <w:rPr>
          <w:bCs/>
          <w:i/>
          <w:spacing w:val="-1"/>
          <w:sz w:val="22"/>
          <w:szCs w:val="22"/>
        </w:rPr>
        <w:t xml:space="preserve">The Extent of </w:t>
      </w:r>
      <w:r w:rsidR="00BC1F75" w:rsidRPr="00844234">
        <w:rPr>
          <w:bCs/>
          <w:i/>
          <w:spacing w:val="-1"/>
          <w:sz w:val="22"/>
          <w:szCs w:val="22"/>
        </w:rPr>
        <w:t>Registration</w:t>
      </w:r>
    </w:p>
    <w:p w14:paraId="7A87D78C" w14:textId="4DDC5252" w:rsidR="0065667C" w:rsidRDefault="00DC5274" w:rsidP="004C0D23">
      <w:pPr>
        <w:pStyle w:val="BP2"/>
        <w:numPr>
          <w:ilvl w:val="0"/>
          <w:numId w:val="3"/>
        </w:numPr>
        <w:tabs>
          <w:tab w:val="clear" w:pos="432"/>
          <w:tab w:val="left" w:pos="709"/>
        </w:tabs>
        <w:ind w:left="567" w:hanging="567"/>
        <w:rPr>
          <w:sz w:val="22"/>
          <w:szCs w:val="22"/>
        </w:rPr>
      </w:pPr>
      <w:bookmarkStart w:id="10" w:name="_Ref11784299"/>
      <w:r>
        <w:rPr>
          <w:sz w:val="22"/>
          <w:szCs w:val="22"/>
        </w:rPr>
        <w:t xml:space="preserve">The Executive Director </w:t>
      </w:r>
      <w:r w:rsidR="00CD6749">
        <w:rPr>
          <w:sz w:val="22"/>
          <w:szCs w:val="22"/>
        </w:rPr>
        <w:t xml:space="preserve">submitted that </w:t>
      </w:r>
      <w:r w:rsidR="008230B8">
        <w:rPr>
          <w:sz w:val="22"/>
          <w:szCs w:val="22"/>
        </w:rPr>
        <w:t xml:space="preserve">the Place was included in the Register of Historic Buildings under the </w:t>
      </w:r>
      <w:r w:rsidR="008230B8" w:rsidRPr="008230B8">
        <w:rPr>
          <w:i/>
          <w:sz w:val="22"/>
          <w:szCs w:val="22"/>
        </w:rPr>
        <w:t>Historic Buildings Act 1974</w:t>
      </w:r>
      <w:r w:rsidR="00727A43">
        <w:rPr>
          <w:sz w:val="22"/>
          <w:szCs w:val="22"/>
        </w:rPr>
        <w:t xml:space="preserve"> (‘the 1974 Act’)</w:t>
      </w:r>
      <w:r w:rsidR="008230B8">
        <w:rPr>
          <w:sz w:val="22"/>
          <w:szCs w:val="22"/>
        </w:rPr>
        <w:t xml:space="preserve"> </w:t>
      </w:r>
      <w:r w:rsidR="0011222A">
        <w:rPr>
          <w:sz w:val="22"/>
          <w:szCs w:val="22"/>
        </w:rPr>
        <w:t xml:space="preserve">when </w:t>
      </w:r>
      <w:r w:rsidR="008230B8">
        <w:rPr>
          <w:sz w:val="22"/>
          <w:szCs w:val="22"/>
        </w:rPr>
        <w:t xml:space="preserve">only buildings (and no land) could be registered. </w:t>
      </w:r>
      <w:r w:rsidR="0065667C">
        <w:rPr>
          <w:sz w:val="22"/>
          <w:szCs w:val="22"/>
        </w:rPr>
        <w:t xml:space="preserve">The entry included in the </w:t>
      </w:r>
      <w:r w:rsidR="00AE2397">
        <w:rPr>
          <w:sz w:val="22"/>
          <w:szCs w:val="22"/>
        </w:rPr>
        <w:t>R</w:t>
      </w:r>
      <w:r w:rsidR="0065667C">
        <w:rPr>
          <w:sz w:val="22"/>
          <w:szCs w:val="22"/>
        </w:rPr>
        <w:t xml:space="preserve">egister </w:t>
      </w:r>
      <w:r w:rsidR="00AE2397">
        <w:rPr>
          <w:sz w:val="22"/>
          <w:szCs w:val="22"/>
        </w:rPr>
        <w:t xml:space="preserve">of Historic Buildings </w:t>
      </w:r>
      <w:r w:rsidR="0065667C">
        <w:rPr>
          <w:sz w:val="22"/>
          <w:szCs w:val="22"/>
        </w:rPr>
        <w:t>was as follows:</w:t>
      </w:r>
      <w:r w:rsidR="0065667C">
        <w:rPr>
          <w:rStyle w:val="FootnoteReference"/>
          <w:sz w:val="22"/>
          <w:szCs w:val="22"/>
        </w:rPr>
        <w:footnoteReference w:id="4"/>
      </w:r>
      <w:bookmarkEnd w:id="10"/>
    </w:p>
    <w:p w14:paraId="2DC7958B" w14:textId="43EA558B" w:rsidR="0065667C" w:rsidRPr="0065667C" w:rsidRDefault="0065667C" w:rsidP="0065667C">
      <w:pPr>
        <w:pStyle w:val="BP2"/>
        <w:ind w:left="720"/>
        <w:rPr>
          <w:i/>
          <w:sz w:val="22"/>
          <w:szCs w:val="22"/>
        </w:rPr>
      </w:pPr>
      <w:r w:rsidRPr="0065667C">
        <w:rPr>
          <w:i/>
          <w:sz w:val="22"/>
          <w:szCs w:val="22"/>
        </w:rPr>
        <w:t>No. 149. Building, 11 Brunswick Street, Fitzroy.</w:t>
      </w:r>
    </w:p>
    <w:p w14:paraId="781ED3A8" w14:textId="27E8F87E" w:rsidR="004941BA" w:rsidRDefault="004941BA" w:rsidP="004C0D23">
      <w:pPr>
        <w:pStyle w:val="BP2"/>
        <w:numPr>
          <w:ilvl w:val="0"/>
          <w:numId w:val="3"/>
        </w:numPr>
        <w:tabs>
          <w:tab w:val="clear" w:pos="432"/>
          <w:tab w:val="left" w:pos="709"/>
        </w:tabs>
        <w:ind w:left="567" w:hanging="567"/>
        <w:rPr>
          <w:sz w:val="22"/>
          <w:szCs w:val="22"/>
        </w:rPr>
      </w:pPr>
      <w:r>
        <w:rPr>
          <w:sz w:val="22"/>
          <w:szCs w:val="22"/>
        </w:rPr>
        <w:t>The</w:t>
      </w:r>
      <w:r w:rsidR="0011222A">
        <w:rPr>
          <w:sz w:val="22"/>
          <w:szCs w:val="22"/>
        </w:rPr>
        <w:t xml:space="preserve"> Executive Director</w:t>
      </w:r>
      <w:r>
        <w:rPr>
          <w:sz w:val="22"/>
          <w:szCs w:val="22"/>
        </w:rPr>
        <w:t xml:space="preserve"> submitted that</w:t>
      </w:r>
      <w:r w:rsidR="0011222A">
        <w:rPr>
          <w:sz w:val="22"/>
          <w:szCs w:val="22"/>
        </w:rPr>
        <w:t xml:space="preserve"> the extent of </w:t>
      </w:r>
      <w:r w:rsidR="00BC1F75">
        <w:rPr>
          <w:sz w:val="22"/>
          <w:szCs w:val="22"/>
        </w:rPr>
        <w:t xml:space="preserve">registration of the Place </w:t>
      </w:r>
      <w:r w:rsidR="0011222A">
        <w:rPr>
          <w:sz w:val="22"/>
          <w:szCs w:val="22"/>
        </w:rPr>
        <w:t>is delineated by the building footprint of the Main House and Rear Wing and does not include any land</w:t>
      </w:r>
      <w:r>
        <w:rPr>
          <w:sz w:val="22"/>
          <w:szCs w:val="22"/>
        </w:rPr>
        <w:t xml:space="preserve"> on the Subject Site</w:t>
      </w:r>
      <w:r w:rsidR="0011222A">
        <w:rPr>
          <w:sz w:val="22"/>
          <w:szCs w:val="22"/>
        </w:rPr>
        <w:t>.</w:t>
      </w:r>
    </w:p>
    <w:p w14:paraId="7D0E71EB" w14:textId="2F91C441" w:rsidR="004941BA" w:rsidRDefault="004941BA" w:rsidP="004C0D23">
      <w:pPr>
        <w:pStyle w:val="BP2"/>
        <w:numPr>
          <w:ilvl w:val="0"/>
          <w:numId w:val="3"/>
        </w:numPr>
        <w:tabs>
          <w:tab w:val="clear" w:pos="432"/>
          <w:tab w:val="left" w:pos="709"/>
        </w:tabs>
        <w:ind w:left="567" w:hanging="567"/>
        <w:rPr>
          <w:sz w:val="22"/>
          <w:szCs w:val="22"/>
        </w:rPr>
      </w:pPr>
      <w:r w:rsidRPr="004941BA">
        <w:rPr>
          <w:sz w:val="22"/>
          <w:szCs w:val="22"/>
        </w:rPr>
        <w:t>The Permit Applicant agreed</w:t>
      </w:r>
      <w:r>
        <w:rPr>
          <w:sz w:val="22"/>
          <w:szCs w:val="22"/>
        </w:rPr>
        <w:t xml:space="preserve"> with the Executive Director’s submission </w:t>
      </w:r>
      <w:r w:rsidR="00B03EDF">
        <w:rPr>
          <w:sz w:val="22"/>
          <w:szCs w:val="22"/>
        </w:rPr>
        <w:t>as to</w:t>
      </w:r>
      <w:r>
        <w:rPr>
          <w:sz w:val="22"/>
          <w:szCs w:val="22"/>
        </w:rPr>
        <w:t xml:space="preserve"> the extent of registration</w:t>
      </w:r>
      <w:r w:rsidR="00261294">
        <w:rPr>
          <w:sz w:val="22"/>
          <w:szCs w:val="22"/>
        </w:rPr>
        <w:t xml:space="preserve">. The Permit Applicant submitted that </w:t>
      </w:r>
      <w:r>
        <w:rPr>
          <w:sz w:val="22"/>
          <w:szCs w:val="22"/>
        </w:rPr>
        <w:t xml:space="preserve">no permission is required under the </w:t>
      </w:r>
      <w:r w:rsidR="00DD4EB6">
        <w:rPr>
          <w:sz w:val="22"/>
          <w:szCs w:val="22"/>
        </w:rPr>
        <w:t xml:space="preserve">1995 Act or </w:t>
      </w:r>
      <w:r>
        <w:rPr>
          <w:sz w:val="22"/>
          <w:szCs w:val="22"/>
        </w:rPr>
        <w:t>2017 Act to carry out works or activities on the balance of the Subject Site</w:t>
      </w:r>
      <w:r w:rsidR="00261294">
        <w:rPr>
          <w:sz w:val="22"/>
          <w:szCs w:val="22"/>
        </w:rPr>
        <w:t xml:space="preserve"> and therefore development on that portion can occur ‘as of right’.</w:t>
      </w:r>
      <w:r w:rsidR="00F61B8E">
        <w:rPr>
          <w:sz w:val="22"/>
          <w:szCs w:val="22"/>
        </w:rPr>
        <w:t xml:space="preserve"> </w:t>
      </w:r>
      <w:r w:rsidR="00261294" w:rsidRPr="00F61B8E">
        <w:rPr>
          <w:sz w:val="22"/>
          <w:szCs w:val="22"/>
        </w:rPr>
        <w:t xml:space="preserve">However, the Permit Applicant contended that the ‘as of right’ works are relevant to the permission to be granted for works </w:t>
      </w:r>
      <w:r w:rsidR="00B03EDF">
        <w:rPr>
          <w:sz w:val="22"/>
          <w:szCs w:val="22"/>
        </w:rPr>
        <w:t>to</w:t>
      </w:r>
      <w:r w:rsidR="00261294" w:rsidRPr="00F61B8E">
        <w:rPr>
          <w:sz w:val="22"/>
          <w:szCs w:val="22"/>
        </w:rPr>
        <w:t xml:space="preserve"> the </w:t>
      </w:r>
      <w:r w:rsidR="00F61B8E" w:rsidRPr="00F61B8E">
        <w:rPr>
          <w:sz w:val="22"/>
          <w:szCs w:val="22"/>
        </w:rPr>
        <w:t xml:space="preserve">Place </w:t>
      </w:r>
      <w:r w:rsidR="00E5124B" w:rsidRPr="00F61B8E">
        <w:rPr>
          <w:sz w:val="22"/>
          <w:szCs w:val="22"/>
        </w:rPr>
        <w:t>because of section 101(3) of the 2017 Act.</w:t>
      </w:r>
    </w:p>
    <w:p w14:paraId="15291B81" w14:textId="459B37B8" w:rsidR="00F61B8E" w:rsidRDefault="00F61B8E" w:rsidP="004C0D23">
      <w:pPr>
        <w:pStyle w:val="BP2"/>
        <w:numPr>
          <w:ilvl w:val="0"/>
          <w:numId w:val="3"/>
        </w:numPr>
        <w:tabs>
          <w:tab w:val="clear" w:pos="432"/>
          <w:tab w:val="left" w:pos="709"/>
        </w:tabs>
        <w:ind w:left="567" w:hanging="567"/>
        <w:rPr>
          <w:sz w:val="22"/>
          <w:szCs w:val="22"/>
        </w:rPr>
      </w:pPr>
      <w:r>
        <w:rPr>
          <w:sz w:val="22"/>
          <w:szCs w:val="22"/>
        </w:rPr>
        <w:t>Section 101(3) provides that the Executive Director may consider:</w:t>
      </w:r>
    </w:p>
    <w:p w14:paraId="278042C2" w14:textId="3EB495B9" w:rsidR="00F61B8E" w:rsidRDefault="00F61B8E" w:rsidP="004C0D23">
      <w:pPr>
        <w:pStyle w:val="BP2"/>
        <w:numPr>
          <w:ilvl w:val="0"/>
          <w:numId w:val="29"/>
        </w:numPr>
        <w:ind w:left="993" w:hanging="426"/>
        <w:rPr>
          <w:sz w:val="22"/>
          <w:szCs w:val="22"/>
        </w:rPr>
      </w:pPr>
      <w:r>
        <w:rPr>
          <w:sz w:val="22"/>
          <w:szCs w:val="22"/>
        </w:rPr>
        <w:lastRenderedPageBreak/>
        <w:t xml:space="preserve">the extent to which the Application, if approved, would affect the cultural heritage significance of any adjacent or </w:t>
      </w:r>
      <w:proofErr w:type="spellStart"/>
      <w:r>
        <w:rPr>
          <w:sz w:val="22"/>
          <w:szCs w:val="22"/>
        </w:rPr>
        <w:t>neighbouring</w:t>
      </w:r>
      <w:proofErr w:type="spellEnd"/>
      <w:r>
        <w:rPr>
          <w:sz w:val="22"/>
          <w:szCs w:val="22"/>
        </w:rPr>
        <w:t xml:space="preserve"> property that is subject to a heritage control in the relevant planning scheme;</w:t>
      </w:r>
      <w:r w:rsidR="00D20A8F">
        <w:rPr>
          <w:rStyle w:val="FootnoteReference"/>
          <w:sz w:val="22"/>
          <w:szCs w:val="22"/>
        </w:rPr>
        <w:footnoteReference w:id="5"/>
      </w:r>
      <w:r>
        <w:rPr>
          <w:sz w:val="22"/>
          <w:szCs w:val="22"/>
        </w:rPr>
        <w:t xml:space="preserve"> and</w:t>
      </w:r>
    </w:p>
    <w:p w14:paraId="798E6A53" w14:textId="5D038E59" w:rsidR="00F61B8E" w:rsidRPr="00F61B8E" w:rsidRDefault="00F61B8E" w:rsidP="004C0D23">
      <w:pPr>
        <w:pStyle w:val="BP2"/>
        <w:numPr>
          <w:ilvl w:val="0"/>
          <w:numId w:val="29"/>
        </w:numPr>
        <w:ind w:left="993" w:hanging="426"/>
        <w:rPr>
          <w:sz w:val="22"/>
          <w:szCs w:val="22"/>
        </w:rPr>
      </w:pPr>
      <w:r>
        <w:rPr>
          <w:sz w:val="22"/>
          <w:szCs w:val="22"/>
        </w:rPr>
        <w:t>any other relevant matter.</w:t>
      </w:r>
    </w:p>
    <w:p w14:paraId="7EFEFB61" w14:textId="291F26C1" w:rsidR="0011222A" w:rsidRDefault="00F61B8E" w:rsidP="004C0D23">
      <w:pPr>
        <w:pStyle w:val="BP2"/>
        <w:numPr>
          <w:ilvl w:val="0"/>
          <w:numId w:val="3"/>
        </w:numPr>
        <w:tabs>
          <w:tab w:val="clear" w:pos="432"/>
          <w:tab w:val="left" w:pos="709"/>
        </w:tabs>
        <w:ind w:left="567" w:hanging="567"/>
        <w:rPr>
          <w:sz w:val="22"/>
          <w:szCs w:val="22"/>
        </w:rPr>
      </w:pPr>
      <w:proofErr w:type="spellStart"/>
      <w:r>
        <w:rPr>
          <w:sz w:val="22"/>
          <w:szCs w:val="22"/>
        </w:rPr>
        <w:t>Ms</w:t>
      </w:r>
      <w:proofErr w:type="spellEnd"/>
      <w:r>
        <w:rPr>
          <w:sz w:val="22"/>
          <w:szCs w:val="22"/>
        </w:rPr>
        <w:t xml:space="preserve"> Ellio</w:t>
      </w:r>
      <w:r w:rsidR="00744CCF">
        <w:rPr>
          <w:sz w:val="22"/>
          <w:szCs w:val="22"/>
        </w:rPr>
        <w:t>t referred to the definition</w:t>
      </w:r>
      <w:r w:rsidR="0089031B">
        <w:rPr>
          <w:sz w:val="22"/>
          <w:szCs w:val="22"/>
        </w:rPr>
        <w:t>s</w:t>
      </w:r>
      <w:r w:rsidR="00744CCF">
        <w:rPr>
          <w:sz w:val="22"/>
          <w:szCs w:val="22"/>
        </w:rPr>
        <w:t xml:space="preserve"> of ‘building’ in </w:t>
      </w:r>
      <w:r w:rsidR="00727A43">
        <w:rPr>
          <w:sz w:val="22"/>
          <w:szCs w:val="22"/>
        </w:rPr>
        <w:t xml:space="preserve">the 1974 Act </w:t>
      </w:r>
      <w:r w:rsidR="0089031B">
        <w:rPr>
          <w:sz w:val="22"/>
          <w:szCs w:val="22"/>
        </w:rPr>
        <w:t xml:space="preserve">and </w:t>
      </w:r>
      <w:r w:rsidR="0089031B" w:rsidRPr="0089031B">
        <w:rPr>
          <w:i/>
          <w:sz w:val="22"/>
          <w:szCs w:val="22"/>
        </w:rPr>
        <w:t>Historic Buildings Act 1981</w:t>
      </w:r>
      <w:r w:rsidR="0089031B">
        <w:rPr>
          <w:sz w:val="22"/>
          <w:szCs w:val="22"/>
        </w:rPr>
        <w:t xml:space="preserve">, </w:t>
      </w:r>
      <w:r w:rsidR="00F55170">
        <w:rPr>
          <w:sz w:val="22"/>
          <w:szCs w:val="22"/>
        </w:rPr>
        <w:t xml:space="preserve">both of </w:t>
      </w:r>
      <w:r w:rsidR="00744CCF">
        <w:rPr>
          <w:sz w:val="22"/>
          <w:szCs w:val="22"/>
        </w:rPr>
        <w:t xml:space="preserve">which include ‘appurtenances’ to a building. </w:t>
      </w:r>
      <w:proofErr w:type="spellStart"/>
      <w:r w:rsidR="00744CCF">
        <w:rPr>
          <w:sz w:val="22"/>
          <w:szCs w:val="22"/>
        </w:rPr>
        <w:t>Ms</w:t>
      </w:r>
      <w:proofErr w:type="spellEnd"/>
      <w:r w:rsidR="00744CCF">
        <w:rPr>
          <w:sz w:val="22"/>
          <w:szCs w:val="22"/>
        </w:rPr>
        <w:t xml:space="preserve"> Elliot submitted that because appurtenances may include fences</w:t>
      </w:r>
      <w:r w:rsidR="0089031B">
        <w:rPr>
          <w:sz w:val="22"/>
          <w:szCs w:val="22"/>
        </w:rPr>
        <w:t xml:space="preserve">, </w:t>
      </w:r>
      <w:r w:rsidR="00744CCF">
        <w:rPr>
          <w:sz w:val="22"/>
          <w:szCs w:val="22"/>
        </w:rPr>
        <w:t>outbuildings</w:t>
      </w:r>
      <w:r w:rsidR="0089031B">
        <w:rPr>
          <w:sz w:val="22"/>
          <w:szCs w:val="22"/>
        </w:rPr>
        <w:t>, walls and other similar structures</w:t>
      </w:r>
      <w:r w:rsidR="00744CCF">
        <w:rPr>
          <w:sz w:val="22"/>
          <w:szCs w:val="22"/>
        </w:rPr>
        <w:t xml:space="preserve">, the term ‘building’ impliedly includes land associated with the building. </w:t>
      </w:r>
      <w:proofErr w:type="spellStart"/>
      <w:r w:rsidR="0089031B">
        <w:rPr>
          <w:sz w:val="22"/>
          <w:szCs w:val="22"/>
        </w:rPr>
        <w:t>Ms</w:t>
      </w:r>
      <w:proofErr w:type="spellEnd"/>
      <w:r w:rsidR="0089031B">
        <w:rPr>
          <w:sz w:val="22"/>
          <w:szCs w:val="22"/>
        </w:rPr>
        <w:t xml:space="preserve"> Elliot contended that the definition</w:t>
      </w:r>
      <w:r w:rsidR="009A021E">
        <w:rPr>
          <w:sz w:val="22"/>
          <w:szCs w:val="22"/>
        </w:rPr>
        <w:t>s</w:t>
      </w:r>
      <w:r w:rsidR="0089031B">
        <w:rPr>
          <w:sz w:val="22"/>
          <w:szCs w:val="22"/>
        </w:rPr>
        <w:t xml:space="preserve"> of ‘place’ in the 1995 Act and 2017 Act,</w:t>
      </w:r>
      <w:r w:rsidR="0089031B">
        <w:rPr>
          <w:rStyle w:val="FootnoteReference"/>
          <w:sz w:val="22"/>
          <w:szCs w:val="22"/>
        </w:rPr>
        <w:footnoteReference w:id="6"/>
      </w:r>
      <w:r w:rsidR="0089031B">
        <w:rPr>
          <w:sz w:val="22"/>
          <w:szCs w:val="22"/>
        </w:rPr>
        <w:t xml:space="preserve"> which </w:t>
      </w:r>
      <w:r w:rsidR="009A021E">
        <w:rPr>
          <w:sz w:val="22"/>
          <w:szCs w:val="22"/>
        </w:rPr>
        <w:t>expressly include “building” and “land”, merely clarified the intention of these earlier Acts in relation to land associated with registered buildings.</w:t>
      </w:r>
    </w:p>
    <w:p w14:paraId="7D4ED08E" w14:textId="3A805BBD" w:rsidR="00BC1F75" w:rsidRPr="00844234" w:rsidRDefault="00BC1F75" w:rsidP="00605473">
      <w:pPr>
        <w:pStyle w:val="BP2"/>
        <w:spacing w:before="240" w:after="240"/>
        <w:jc w:val="both"/>
        <w:rPr>
          <w:bCs/>
          <w:i/>
          <w:spacing w:val="-1"/>
          <w:sz w:val="22"/>
          <w:szCs w:val="22"/>
        </w:rPr>
      </w:pPr>
      <w:r w:rsidRPr="00844234">
        <w:rPr>
          <w:bCs/>
          <w:i/>
          <w:spacing w:val="-1"/>
          <w:sz w:val="22"/>
          <w:szCs w:val="22"/>
        </w:rPr>
        <w:t>Discussion and ruling</w:t>
      </w:r>
    </w:p>
    <w:p w14:paraId="23FD01BC" w14:textId="497BD892" w:rsidR="009A021E" w:rsidRDefault="001F7636" w:rsidP="004C0D23">
      <w:pPr>
        <w:pStyle w:val="BP2"/>
        <w:numPr>
          <w:ilvl w:val="0"/>
          <w:numId w:val="3"/>
        </w:numPr>
        <w:tabs>
          <w:tab w:val="clear" w:pos="432"/>
          <w:tab w:val="left" w:pos="567"/>
        </w:tabs>
        <w:ind w:left="567" w:hanging="567"/>
        <w:rPr>
          <w:sz w:val="22"/>
          <w:szCs w:val="22"/>
        </w:rPr>
      </w:pPr>
      <w:bookmarkStart w:id="11" w:name="_Ref10637633"/>
      <w:r>
        <w:rPr>
          <w:sz w:val="22"/>
          <w:szCs w:val="22"/>
        </w:rPr>
        <w:t xml:space="preserve">The Committee accepted the position put forward by the Executive Director and Permit Applicant that the extent of </w:t>
      </w:r>
      <w:r w:rsidR="00BC1F75">
        <w:rPr>
          <w:sz w:val="22"/>
          <w:szCs w:val="22"/>
        </w:rPr>
        <w:t>registration of the Place</w:t>
      </w:r>
      <w:r>
        <w:rPr>
          <w:sz w:val="22"/>
          <w:szCs w:val="22"/>
        </w:rPr>
        <w:t xml:space="preserve"> is </w:t>
      </w:r>
      <w:r w:rsidR="00DD4EB6">
        <w:rPr>
          <w:sz w:val="22"/>
          <w:szCs w:val="22"/>
        </w:rPr>
        <w:t>confined</w:t>
      </w:r>
      <w:r>
        <w:rPr>
          <w:sz w:val="22"/>
          <w:szCs w:val="22"/>
        </w:rPr>
        <w:t xml:space="preserve"> </w:t>
      </w:r>
      <w:r w:rsidR="00DD4EB6">
        <w:rPr>
          <w:sz w:val="22"/>
          <w:szCs w:val="22"/>
        </w:rPr>
        <w:t>to</w:t>
      </w:r>
      <w:r>
        <w:rPr>
          <w:sz w:val="22"/>
          <w:szCs w:val="22"/>
        </w:rPr>
        <w:t xml:space="preserve"> the building footprint of the Main House and Rear Wing and does not include any land </w:t>
      </w:r>
      <w:r w:rsidR="00B956A8">
        <w:rPr>
          <w:sz w:val="22"/>
          <w:szCs w:val="22"/>
        </w:rPr>
        <w:t xml:space="preserve">within </w:t>
      </w:r>
      <w:r>
        <w:rPr>
          <w:sz w:val="22"/>
          <w:szCs w:val="22"/>
        </w:rPr>
        <w:t>the Subject Site</w:t>
      </w:r>
      <w:r w:rsidR="00F55170">
        <w:rPr>
          <w:sz w:val="22"/>
          <w:szCs w:val="22"/>
        </w:rPr>
        <w:t>, or at least no land beyond the extent of that footprint</w:t>
      </w:r>
      <w:r>
        <w:rPr>
          <w:sz w:val="22"/>
          <w:szCs w:val="22"/>
        </w:rPr>
        <w:t>.</w:t>
      </w:r>
      <w:bookmarkEnd w:id="11"/>
    </w:p>
    <w:p w14:paraId="5601C457" w14:textId="165E0AE7" w:rsidR="00F55170" w:rsidRDefault="00B956A8" w:rsidP="004C0D23">
      <w:pPr>
        <w:pStyle w:val="BP2"/>
        <w:numPr>
          <w:ilvl w:val="0"/>
          <w:numId w:val="3"/>
        </w:numPr>
        <w:tabs>
          <w:tab w:val="clear" w:pos="432"/>
          <w:tab w:val="left" w:pos="567"/>
        </w:tabs>
        <w:ind w:left="567" w:hanging="567"/>
        <w:rPr>
          <w:sz w:val="22"/>
          <w:szCs w:val="22"/>
        </w:rPr>
      </w:pPr>
      <w:r>
        <w:rPr>
          <w:sz w:val="22"/>
          <w:szCs w:val="22"/>
        </w:rPr>
        <w:t xml:space="preserve">The Committee </w:t>
      </w:r>
      <w:r w:rsidR="00F55170">
        <w:rPr>
          <w:sz w:val="22"/>
          <w:szCs w:val="22"/>
        </w:rPr>
        <w:t xml:space="preserve">considered </w:t>
      </w:r>
      <w:proofErr w:type="spellStart"/>
      <w:r w:rsidR="00F55170">
        <w:rPr>
          <w:sz w:val="22"/>
          <w:szCs w:val="22"/>
        </w:rPr>
        <w:t>Ms</w:t>
      </w:r>
      <w:proofErr w:type="spellEnd"/>
      <w:r w:rsidR="00F55170">
        <w:rPr>
          <w:sz w:val="22"/>
          <w:szCs w:val="22"/>
        </w:rPr>
        <w:t xml:space="preserve"> Elliot’s detailed and well-researched submissions in this </w:t>
      </w:r>
      <w:r w:rsidR="00F279D5">
        <w:rPr>
          <w:sz w:val="22"/>
          <w:szCs w:val="22"/>
        </w:rPr>
        <w:t>regard but</w:t>
      </w:r>
      <w:r w:rsidR="00F55170">
        <w:rPr>
          <w:sz w:val="22"/>
          <w:szCs w:val="22"/>
        </w:rPr>
        <w:t xml:space="preserve"> </w:t>
      </w:r>
      <w:r>
        <w:rPr>
          <w:sz w:val="22"/>
          <w:szCs w:val="22"/>
        </w:rPr>
        <w:t xml:space="preserve">was </w:t>
      </w:r>
      <w:r w:rsidR="00F55170">
        <w:rPr>
          <w:sz w:val="22"/>
          <w:szCs w:val="22"/>
        </w:rPr>
        <w:t xml:space="preserve">ultimately </w:t>
      </w:r>
      <w:r>
        <w:rPr>
          <w:sz w:val="22"/>
          <w:szCs w:val="22"/>
        </w:rPr>
        <w:t>not persuaded that the definition of ‘building’ in the</w:t>
      </w:r>
      <w:r w:rsidR="009D7717">
        <w:rPr>
          <w:sz w:val="22"/>
          <w:szCs w:val="22"/>
        </w:rPr>
        <w:t xml:space="preserve"> 1974 Act</w:t>
      </w:r>
      <w:r>
        <w:rPr>
          <w:sz w:val="22"/>
          <w:szCs w:val="22"/>
        </w:rPr>
        <w:t xml:space="preserve"> or subsequent Acts </w:t>
      </w:r>
      <w:r w:rsidR="00727A43">
        <w:rPr>
          <w:sz w:val="22"/>
          <w:szCs w:val="22"/>
        </w:rPr>
        <w:t xml:space="preserve">should be construed as </w:t>
      </w:r>
      <w:r>
        <w:rPr>
          <w:sz w:val="22"/>
          <w:szCs w:val="22"/>
        </w:rPr>
        <w:t>impliedly includ</w:t>
      </w:r>
      <w:r w:rsidR="00727A43">
        <w:rPr>
          <w:sz w:val="22"/>
          <w:szCs w:val="22"/>
        </w:rPr>
        <w:t>ing</w:t>
      </w:r>
      <w:r>
        <w:rPr>
          <w:sz w:val="22"/>
          <w:szCs w:val="22"/>
        </w:rPr>
        <w:t xml:space="preserve"> land associated with </w:t>
      </w:r>
      <w:r w:rsidR="00727A43">
        <w:rPr>
          <w:sz w:val="22"/>
          <w:szCs w:val="22"/>
        </w:rPr>
        <w:t xml:space="preserve">a </w:t>
      </w:r>
      <w:r>
        <w:rPr>
          <w:sz w:val="22"/>
          <w:szCs w:val="22"/>
        </w:rPr>
        <w:t xml:space="preserve">building. </w:t>
      </w:r>
      <w:r w:rsidR="00F55170">
        <w:rPr>
          <w:sz w:val="22"/>
          <w:szCs w:val="22"/>
        </w:rPr>
        <w:t>Although those previous Acts may well have enabled ‘appurtenances’ to a building to be included in a registration, there was not sufficient evidence that any particular appurtenances were intended to be the subject of the registration in this case (much less the whole of the Subject Site).</w:t>
      </w:r>
    </w:p>
    <w:p w14:paraId="06A185D8" w14:textId="19900A11" w:rsidR="00CD620B" w:rsidRPr="00DD4EB6" w:rsidRDefault="00F55170" w:rsidP="004C0D23">
      <w:pPr>
        <w:pStyle w:val="BP2"/>
        <w:numPr>
          <w:ilvl w:val="0"/>
          <w:numId w:val="3"/>
        </w:numPr>
        <w:tabs>
          <w:tab w:val="clear" w:pos="432"/>
          <w:tab w:val="left" w:pos="567"/>
        </w:tabs>
        <w:ind w:left="567" w:hanging="567"/>
        <w:rPr>
          <w:sz w:val="22"/>
          <w:szCs w:val="22"/>
        </w:rPr>
      </w:pPr>
      <w:r>
        <w:rPr>
          <w:sz w:val="22"/>
          <w:szCs w:val="22"/>
        </w:rPr>
        <w:t xml:space="preserve">Having regard to the purpose of the 2017 Act and its relevant predecessors, and the legal consequences that have flowed from registration under those Acts, it has always been necessary and desirable that there be </w:t>
      </w:r>
      <w:r w:rsidR="0065667C">
        <w:rPr>
          <w:sz w:val="22"/>
          <w:szCs w:val="22"/>
        </w:rPr>
        <w:t xml:space="preserve">certainty about </w:t>
      </w:r>
      <w:r w:rsidR="00727A43">
        <w:rPr>
          <w:sz w:val="22"/>
          <w:szCs w:val="22"/>
        </w:rPr>
        <w:t xml:space="preserve">what </w:t>
      </w:r>
      <w:r>
        <w:rPr>
          <w:sz w:val="22"/>
          <w:szCs w:val="22"/>
        </w:rPr>
        <w:t xml:space="preserve">is and is not included within any given </w:t>
      </w:r>
      <w:r w:rsidR="00727A43">
        <w:rPr>
          <w:sz w:val="22"/>
          <w:szCs w:val="22"/>
        </w:rPr>
        <w:t>regist</w:t>
      </w:r>
      <w:r>
        <w:rPr>
          <w:sz w:val="22"/>
          <w:szCs w:val="22"/>
        </w:rPr>
        <w:t>ration.</w:t>
      </w:r>
      <w:r w:rsidR="00727A43">
        <w:rPr>
          <w:sz w:val="22"/>
          <w:szCs w:val="22"/>
        </w:rPr>
        <w:t xml:space="preserve"> </w:t>
      </w:r>
      <w:r w:rsidR="00364DBE">
        <w:rPr>
          <w:sz w:val="22"/>
          <w:szCs w:val="22"/>
        </w:rPr>
        <w:t>It would be contrary to the intended functioning of those legislative regimes for t</w:t>
      </w:r>
      <w:r w:rsidR="00CD620B">
        <w:rPr>
          <w:sz w:val="22"/>
          <w:szCs w:val="22"/>
        </w:rPr>
        <w:t>he instrument of registration for the Registered Place</w:t>
      </w:r>
      <w:r w:rsidR="00364DBE">
        <w:rPr>
          <w:sz w:val="22"/>
          <w:szCs w:val="22"/>
        </w:rPr>
        <w:t xml:space="preserve"> to be open to such wide interpretation, in the sense of including appurtenances (including land) that are not clearly identified by that instrument</w:t>
      </w:r>
      <w:r w:rsidR="00CD620B">
        <w:rPr>
          <w:sz w:val="22"/>
          <w:szCs w:val="22"/>
        </w:rPr>
        <w:t>.</w:t>
      </w:r>
    </w:p>
    <w:p w14:paraId="52010A92" w14:textId="50BB1501" w:rsidR="00DD4EB6" w:rsidRPr="00DD4EB6" w:rsidRDefault="00CD620B" w:rsidP="004C0D23">
      <w:pPr>
        <w:pStyle w:val="BP2"/>
        <w:numPr>
          <w:ilvl w:val="0"/>
          <w:numId w:val="3"/>
        </w:numPr>
        <w:tabs>
          <w:tab w:val="clear" w:pos="432"/>
          <w:tab w:val="left" w:pos="567"/>
        </w:tabs>
        <w:ind w:left="426" w:hanging="426"/>
        <w:rPr>
          <w:sz w:val="22"/>
          <w:szCs w:val="22"/>
        </w:rPr>
      </w:pPr>
      <w:r>
        <w:rPr>
          <w:sz w:val="22"/>
          <w:szCs w:val="22"/>
        </w:rPr>
        <w:t>Accordingly, the Committee ruled that:</w:t>
      </w:r>
    </w:p>
    <w:p w14:paraId="79505E14" w14:textId="45DEF775" w:rsidR="00CD620B" w:rsidRDefault="00EB468D" w:rsidP="004C0D23">
      <w:pPr>
        <w:pStyle w:val="BP2"/>
        <w:numPr>
          <w:ilvl w:val="0"/>
          <w:numId w:val="30"/>
        </w:numPr>
        <w:ind w:left="993" w:hanging="425"/>
        <w:rPr>
          <w:sz w:val="22"/>
          <w:szCs w:val="22"/>
        </w:rPr>
      </w:pPr>
      <w:r>
        <w:rPr>
          <w:sz w:val="22"/>
          <w:szCs w:val="22"/>
        </w:rPr>
        <w:t xml:space="preserve">a permit is required under </w:t>
      </w:r>
      <w:r w:rsidR="00DD4EB6">
        <w:rPr>
          <w:sz w:val="22"/>
          <w:szCs w:val="22"/>
        </w:rPr>
        <w:t xml:space="preserve">the </w:t>
      </w:r>
      <w:r>
        <w:rPr>
          <w:sz w:val="22"/>
          <w:szCs w:val="22"/>
        </w:rPr>
        <w:t>2017 Act to</w:t>
      </w:r>
      <w:r w:rsidR="00DD4EB6">
        <w:rPr>
          <w:sz w:val="22"/>
          <w:szCs w:val="22"/>
        </w:rPr>
        <w:t xml:space="preserve"> </w:t>
      </w:r>
      <w:r w:rsidR="008519A6">
        <w:rPr>
          <w:sz w:val="22"/>
          <w:szCs w:val="22"/>
        </w:rPr>
        <w:t xml:space="preserve">partially </w:t>
      </w:r>
      <w:r w:rsidR="00DD4EB6">
        <w:rPr>
          <w:sz w:val="22"/>
          <w:szCs w:val="22"/>
        </w:rPr>
        <w:t>demoli</w:t>
      </w:r>
      <w:r>
        <w:rPr>
          <w:sz w:val="22"/>
          <w:szCs w:val="22"/>
        </w:rPr>
        <w:t xml:space="preserve">sh </w:t>
      </w:r>
      <w:r w:rsidR="00DD4EB6">
        <w:rPr>
          <w:sz w:val="22"/>
          <w:szCs w:val="22"/>
        </w:rPr>
        <w:t>the Rear Wing;</w:t>
      </w:r>
    </w:p>
    <w:p w14:paraId="250EFAA1" w14:textId="15C80FB5" w:rsidR="00DD4EB6" w:rsidRDefault="00EB468D" w:rsidP="004C0D23">
      <w:pPr>
        <w:pStyle w:val="BP2"/>
        <w:numPr>
          <w:ilvl w:val="0"/>
          <w:numId w:val="30"/>
        </w:numPr>
        <w:ind w:left="993" w:hanging="425"/>
        <w:rPr>
          <w:sz w:val="22"/>
          <w:szCs w:val="22"/>
        </w:rPr>
      </w:pPr>
      <w:r>
        <w:rPr>
          <w:sz w:val="22"/>
          <w:szCs w:val="22"/>
        </w:rPr>
        <w:t xml:space="preserve">a permit is required under the 2017 Act </w:t>
      </w:r>
      <w:r w:rsidR="00074DFF">
        <w:rPr>
          <w:sz w:val="22"/>
          <w:szCs w:val="22"/>
        </w:rPr>
        <w:t xml:space="preserve">to carry out </w:t>
      </w:r>
      <w:r w:rsidR="00DD4EB6">
        <w:rPr>
          <w:sz w:val="22"/>
          <w:szCs w:val="22"/>
        </w:rPr>
        <w:t xml:space="preserve">works </w:t>
      </w:r>
      <w:r w:rsidR="008519A6">
        <w:rPr>
          <w:sz w:val="22"/>
          <w:szCs w:val="22"/>
        </w:rPr>
        <w:t xml:space="preserve">or </w:t>
      </w:r>
      <w:r w:rsidR="00DD4EB6">
        <w:rPr>
          <w:sz w:val="22"/>
          <w:szCs w:val="22"/>
        </w:rPr>
        <w:t>activities within the building footprint of the Main House and Rear Wing;</w:t>
      </w:r>
      <w:r w:rsidR="00D20A8F">
        <w:rPr>
          <w:sz w:val="22"/>
          <w:szCs w:val="22"/>
        </w:rPr>
        <w:t xml:space="preserve"> and</w:t>
      </w:r>
    </w:p>
    <w:p w14:paraId="5C1950D8" w14:textId="4D298E62" w:rsidR="00D20A8F" w:rsidRPr="00D20A8F" w:rsidRDefault="00EB468D" w:rsidP="004C0D23">
      <w:pPr>
        <w:pStyle w:val="BP2"/>
        <w:numPr>
          <w:ilvl w:val="0"/>
          <w:numId w:val="30"/>
        </w:numPr>
        <w:ind w:left="993" w:hanging="425"/>
        <w:rPr>
          <w:sz w:val="22"/>
          <w:szCs w:val="22"/>
        </w:rPr>
      </w:pPr>
      <w:r>
        <w:rPr>
          <w:sz w:val="22"/>
          <w:szCs w:val="22"/>
        </w:rPr>
        <w:t>no permit is required under the 2017 Act</w:t>
      </w:r>
      <w:r w:rsidR="00BC1F75">
        <w:rPr>
          <w:sz w:val="22"/>
          <w:szCs w:val="22"/>
        </w:rPr>
        <w:t xml:space="preserve"> </w:t>
      </w:r>
      <w:r w:rsidR="00074DFF">
        <w:rPr>
          <w:sz w:val="22"/>
          <w:szCs w:val="22"/>
        </w:rPr>
        <w:t>to carry out</w:t>
      </w:r>
      <w:r>
        <w:rPr>
          <w:sz w:val="22"/>
          <w:szCs w:val="22"/>
        </w:rPr>
        <w:t xml:space="preserve"> </w:t>
      </w:r>
      <w:r w:rsidR="00DD4EB6">
        <w:rPr>
          <w:sz w:val="22"/>
          <w:szCs w:val="22"/>
        </w:rPr>
        <w:t xml:space="preserve">works </w:t>
      </w:r>
      <w:r w:rsidR="008519A6">
        <w:rPr>
          <w:sz w:val="22"/>
          <w:szCs w:val="22"/>
        </w:rPr>
        <w:t>or</w:t>
      </w:r>
      <w:r w:rsidR="00DD4EB6">
        <w:rPr>
          <w:sz w:val="22"/>
          <w:szCs w:val="22"/>
        </w:rPr>
        <w:t xml:space="preserve"> activities on </w:t>
      </w:r>
      <w:r w:rsidR="008519A6">
        <w:rPr>
          <w:sz w:val="22"/>
          <w:szCs w:val="22"/>
        </w:rPr>
        <w:t xml:space="preserve">the portion of the Subject Site that is </w:t>
      </w:r>
      <w:r w:rsidR="00DD4EB6">
        <w:rPr>
          <w:sz w:val="22"/>
          <w:szCs w:val="22"/>
        </w:rPr>
        <w:t xml:space="preserve">outside the building footprint of </w:t>
      </w:r>
      <w:r w:rsidR="00364DBE">
        <w:rPr>
          <w:sz w:val="22"/>
          <w:szCs w:val="22"/>
        </w:rPr>
        <w:t xml:space="preserve">either </w:t>
      </w:r>
      <w:r w:rsidR="00DD4EB6">
        <w:rPr>
          <w:sz w:val="22"/>
          <w:szCs w:val="22"/>
        </w:rPr>
        <w:t xml:space="preserve">the Main House </w:t>
      </w:r>
      <w:r w:rsidR="00364DBE">
        <w:rPr>
          <w:sz w:val="22"/>
          <w:szCs w:val="22"/>
        </w:rPr>
        <w:t xml:space="preserve">or </w:t>
      </w:r>
      <w:r w:rsidR="00DD4EB6">
        <w:rPr>
          <w:sz w:val="22"/>
          <w:szCs w:val="22"/>
        </w:rPr>
        <w:t>Rear Wing</w:t>
      </w:r>
      <w:r>
        <w:rPr>
          <w:sz w:val="22"/>
          <w:szCs w:val="22"/>
        </w:rPr>
        <w:t>.</w:t>
      </w:r>
    </w:p>
    <w:p w14:paraId="1BFD7CDA" w14:textId="7DA6BB1A" w:rsidR="0085268D" w:rsidRDefault="00BC2698" w:rsidP="004C0D23">
      <w:pPr>
        <w:pStyle w:val="BP2"/>
        <w:numPr>
          <w:ilvl w:val="0"/>
          <w:numId w:val="3"/>
        </w:numPr>
        <w:tabs>
          <w:tab w:val="clear" w:pos="432"/>
        </w:tabs>
        <w:ind w:left="567" w:hanging="567"/>
        <w:rPr>
          <w:sz w:val="22"/>
          <w:szCs w:val="22"/>
        </w:rPr>
      </w:pPr>
      <w:bookmarkStart w:id="12" w:name="_Ref11159868"/>
      <w:r>
        <w:rPr>
          <w:sz w:val="22"/>
          <w:szCs w:val="22"/>
        </w:rPr>
        <w:t>Consist</w:t>
      </w:r>
      <w:r w:rsidR="005D3E74">
        <w:rPr>
          <w:sz w:val="22"/>
          <w:szCs w:val="22"/>
        </w:rPr>
        <w:t>ent</w:t>
      </w:r>
      <w:r>
        <w:rPr>
          <w:sz w:val="22"/>
          <w:szCs w:val="22"/>
        </w:rPr>
        <w:t xml:space="preserve"> with</w:t>
      </w:r>
      <w:r w:rsidR="00B03EDF">
        <w:rPr>
          <w:sz w:val="22"/>
          <w:szCs w:val="22"/>
        </w:rPr>
        <w:t xml:space="preserve"> this</w:t>
      </w:r>
      <w:r w:rsidR="0085268D">
        <w:rPr>
          <w:sz w:val="22"/>
          <w:szCs w:val="22"/>
        </w:rPr>
        <w:t xml:space="preserve"> ruling, </w:t>
      </w:r>
      <w:r>
        <w:rPr>
          <w:sz w:val="22"/>
          <w:szCs w:val="22"/>
        </w:rPr>
        <w:t xml:space="preserve">in reviewing the Determination, </w:t>
      </w:r>
      <w:r w:rsidR="0085268D">
        <w:rPr>
          <w:sz w:val="22"/>
          <w:szCs w:val="22"/>
        </w:rPr>
        <w:t xml:space="preserve">the Committee has confined its </w:t>
      </w:r>
      <w:r>
        <w:rPr>
          <w:sz w:val="22"/>
          <w:szCs w:val="22"/>
        </w:rPr>
        <w:t xml:space="preserve">assessment </w:t>
      </w:r>
      <w:r w:rsidR="0085268D">
        <w:rPr>
          <w:sz w:val="22"/>
          <w:szCs w:val="22"/>
        </w:rPr>
        <w:t>to the proposed works or activities that require a permit</w:t>
      </w:r>
      <w:r>
        <w:rPr>
          <w:sz w:val="22"/>
          <w:szCs w:val="22"/>
        </w:rPr>
        <w:t xml:space="preserve"> under the </w:t>
      </w:r>
      <w:r w:rsidR="00F840BA">
        <w:rPr>
          <w:sz w:val="22"/>
          <w:szCs w:val="22"/>
        </w:rPr>
        <w:t xml:space="preserve">2017 </w:t>
      </w:r>
      <w:r>
        <w:rPr>
          <w:sz w:val="22"/>
          <w:szCs w:val="22"/>
        </w:rPr>
        <w:t>Act</w:t>
      </w:r>
      <w:r w:rsidR="0085268D">
        <w:rPr>
          <w:sz w:val="22"/>
          <w:szCs w:val="22"/>
        </w:rPr>
        <w:t>, namely:</w:t>
      </w:r>
      <w:bookmarkEnd w:id="12"/>
    </w:p>
    <w:p w14:paraId="66AB815F" w14:textId="29AE9BA5" w:rsidR="0085268D" w:rsidRDefault="0014306A" w:rsidP="004C0D23">
      <w:pPr>
        <w:pStyle w:val="BP2"/>
        <w:numPr>
          <w:ilvl w:val="0"/>
          <w:numId w:val="32"/>
        </w:numPr>
        <w:ind w:left="993" w:hanging="426"/>
        <w:rPr>
          <w:sz w:val="22"/>
          <w:szCs w:val="22"/>
        </w:rPr>
      </w:pPr>
      <w:r>
        <w:rPr>
          <w:sz w:val="22"/>
          <w:szCs w:val="22"/>
        </w:rPr>
        <w:t>T</w:t>
      </w:r>
      <w:r w:rsidR="0085268D">
        <w:rPr>
          <w:sz w:val="22"/>
          <w:szCs w:val="22"/>
        </w:rPr>
        <w:t xml:space="preserve">he demolition of the western </w:t>
      </w:r>
      <w:r w:rsidR="00BE1792">
        <w:rPr>
          <w:sz w:val="22"/>
          <w:szCs w:val="22"/>
        </w:rPr>
        <w:t xml:space="preserve">portion </w:t>
      </w:r>
      <w:r w:rsidR="0085268D">
        <w:rPr>
          <w:sz w:val="22"/>
          <w:szCs w:val="22"/>
        </w:rPr>
        <w:t>of the Rear Wing</w:t>
      </w:r>
      <w:r>
        <w:rPr>
          <w:sz w:val="22"/>
          <w:szCs w:val="22"/>
        </w:rPr>
        <w:t>.</w:t>
      </w:r>
    </w:p>
    <w:p w14:paraId="49EDD686" w14:textId="0DEF58B9" w:rsidR="00035DBF" w:rsidRDefault="0014306A" w:rsidP="004C0D23">
      <w:pPr>
        <w:pStyle w:val="BP2"/>
        <w:numPr>
          <w:ilvl w:val="0"/>
          <w:numId w:val="32"/>
        </w:numPr>
        <w:ind w:left="993" w:hanging="426"/>
        <w:rPr>
          <w:sz w:val="22"/>
          <w:szCs w:val="22"/>
        </w:rPr>
      </w:pPr>
      <w:r>
        <w:rPr>
          <w:sz w:val="22"/>
          <w:szCs w:val="22"/>
        </w:rPr>
        <w:lastRenderedPageBreak/>
        <w:t>T</w:t>
      </w:r>
      <w:r w:rsidR="0085268D" w:rsidRPr="00A94B61">
        <w:rPr>
          <w:sz w:val="22"/>
          <w:szCs w:val="22"/>
        </w:rPr>
        <w:t xml:space="preserve">he new works to the Main House and </w:t>
      </w:r>
      <w:r w:rsidR="00BC2698">
        <w:rPr>
          <w:sz w:val="22"/>
          <w:szCs w:val="22"/>
        </w:rPr>
        <w:t>eastern half</w:t>
      </w:r>
      <w:r w:rsidR="0085268D" w:rsidRPr="00A94B61">
        <w:rPr>
          <w:sz w:val="22"/>
          <w:szCs w:val="22"/>
        </w:rPr>
        <w:t xml:space="preserve"> of the Rear Wing, as generally described in </w:t>
      </w:r>
      <w:r w:rsidR="0085268D" w:rsidRPr="00F279D5">
        <w:rPr>
          <w:sz w:val="22"/>
          <w:szCs w:val="22"/>
        </w:rPr>
        <w:t xml:space="preserve">paragraphs </w:t>
      </w:r>
      <w:r w:rsidR="0085268D" w:rsidRPr="00F279D5">
        <w:rPr>
          <w:sz w:val="22"/>
          <w:szCs w:val="22"/>
        </w:rPr>
        <w:fldChar w:fldCharType="begin"/>
      </w:r>
      <w:r w:rsidR="0085268D" w:rsidRPr="00F279D5">
        <w:rPr>
          <w:sz w:val="22"/>
          <w:szCs w:val="22"/>
        </w:rPr>
        <w:instrText xml:space="preserve"> REF _Ref10196546 \r \h </w:instrText>
      </w:r>
      <w:r w:rsidR="00E6411A" w:rsidRPr="00F279D5">
        <w:rPr>
          <w:sz w:val="22"/>
          <w:szCs w:val="22"/>
        </w:rPr>
        <w:instrText xml:space="preserve"> \* MERGEFORMAT </w:instrText>
      </w:r>
      <w:r w:rsidR="0085268D" w:rsidRPr="00F279D5">
        <w:rPr>
          <w:sz w:val="22"/>
          <w:szCs w:val="22"/>
        </w:rPr>
      </w:r>
      <w:r w:rsidR="0085268D" w:rsidRPr="00F279D5">
        <w:rPr>
          <w:sz w:val="22"/>
          <w:szCs w:val="22"/>
        </w:rPr>
        <w:fldChar w:fldCharType="separate"/>
      </w:r>
      <w:r w:rsidR="00F414A6">
        <w:rPr>
          <w:sz w:val="22"/>
          <w:szCs w:val="22"/>
        </w:rPr>
        <w:t>019</w:t>
      </w:r>
      <w:r w:rsidR="0085268D" w:rsidRPr="00F279D5">
        <w:rPr>
          <w:sz w:val="22"/>
          <w:szCs w:val="22"/>
        </w:rPr>
        <w:fldChar w:fldCharType="end"/>
      </w:r>
      <w:r w:rsidR="0085268D" w:rsidRPr="00F279D5">
        <w:rPr>
          <w:sz w:val="22"/>
          <w:szCs w:val="22"/>
        </w:rPr>
        <w:t xml:space="preserve"> and </w:t>
      </w:r>
      <w:r w:rsidR="0085268D" w:rsidRPr="00F279D5">
        <w:rPr>
          <w:sz w:val="22"/>
          <w:szCs w:val="22"/>
        </w:rPr>
        <w:fldChar w:fldCharType="begin"/>
      </w:r>
      <w:r w:rsidR="0085268D" w:rsidRPr="00F279D5">
        <w:rPr>
          <w:sz w:val="22"/>
          <w:szCs w:val="22"/>
        </w:rPr>
        <w:instrText xml:space="preserve"> REF _Ref10196567 \r \h </w:instrText>
      </w:r>
      <w:r w:rsidR="00E6411A" w:rsidRPr="00F279D5">
        <w:rPr>
          <w:sz w:val="22"/>
          <w:szCs w:val="22"/>
        </w:rPr>
        <w:instrText xml:space="preserve"> \* MERGEFORMAT </w:instrText>
      </w:r>
      <w:r w:rsidR="0085268D" w:rsidRPr="00F279D5">
        <w:rPr>
          <w:sz w:val="22"/>
          <w:szCs w:val="22"/>
        </w:rPr>
      </w:r>
      <w:r w:rsidR="0085268D" w:rsidRPr="00F279D5">
        <w:rPr>
          <w:sz w:val="22"/>
          <w:szCs w:val="22"/>
        </w:rPr>
        <w:fldChar w:fldCharType="separate"/>
      </w:r>
      <w:r w:rsidR="00F414A6">
        <w:rPr>
          <w:sz w:val="22"/>
          <w:szCs w:val="22"/>
        </w:rPr>
        <w:t>020</w:t>
      </w:r>
      <w:r w:rsidR="0085268D" w:rsidRPr="00F279D5">
        <w:rPr>
          <w:sz w:val="22"/>
          <w:szCs w:val="22"/>
        </w:rPr>
        <w:fldChar w:fldCharType="end"/>
      </w:r>
      <w:r w:rsidR="0085268D" w:rsidRPr="00A94B61">
        <w:rPr>
          <w:sz w:val="22"/>
          <w:szCs w:val="22"/>
        </w:rPr>
        <w:t xml:space="preserve"> above</w:t>
      </w:r>
      <w:r>
        <w:rPr>
          <w:sz w:val="22"/>
          <w:szCs w:val="22"/>
        </w:rPr>
        <w:t>.</w:t>
      </w:r>
      <w:bookmarkStart w:id="13" w:name="_Ref10637921"/>
    </w:p>
    <w:p w14:paraId="71BD661C" w14:textId="4E482E80" w:rsidR="0085268D" w:rsidRPr="00035DBF" w:rsidRDefault="0014306A" w:rsidP="004C0D23">
      <w:pPr>
        <w:pStyle w:val="BP2"/>
        <w:numPr>
          <w:ilvl w:val="0"/>
          <w:numId w:val="32"/>
        </w:numPr>
        <w:ind w:left="993" w:hanging="426"/>
        <w:rPr>
          <w:sz w:val="22"/>
          <w:szCs w:val="22"/>
        </w:rPr>
      </w:pPr>
      <w:r w:rsidRPr="00035DBF">
        <w:rPr>
          <w:sz w:val="22"/>
          <w:szCs w:val="22"/>
        </w:rPr>
        <w:t>T</w:t>
      </w:r>
      <w:r w:rsidR="0085268D" w:rsidRPr="00035DBF">
        <w:rPr>
          <w:sz w:val="22"/>
          <w:szCs w:val="22"/>
        </w:rPr>
        <w:t xml:space="preserve">he </w:t>
      </w:r>
      <w:r w:rsidR="008519A6" w:rsidRPr="00035DBF">
        <w:rPr>
          <w:sz w:val="22"/>
          <w:szCs w:val="22"/>
        </w:rPr>
        <w:t>new</w:t>
      </w:r>
      <w:r w:rsidR="0085268D" w:rsidRPr="00035DBF">
        <w:rPr>
          <w:sz w:val="22"/>
          <w:szCs w:val="22"/>
        </w:rPr>
        <w:t xml:space="preserve"> works </w:t>
      </w:r>
      <w:r w:rsidR="00BC2698" w:rsidRPr="00035DBF">
        <w:rPr>
          <w:sz w:val="22"/>
          <w:szCs w:val="22"/>
        </w:rPr>
        <w:t>for</w:t>
      </w:r>
      <w:r w:rsidR="0085268D" w:rsidRPr="00035DBF">
        <w:rPr>
          <w:sz w:val="22"/>
          <w:szCs w:val="22"/>
        </w:rPr>
        <w:t xml:space="preserve"> the apartment building </w:t>
      </w:r>
      <w:r w:rsidR="00890A6B">
        <w:rPr>
          <w:sz w:val="22"/>
          <w:szCs w:val="22"/>
        </w:rPr>
        <w:t xml:space="preserve">that are </w:t>
      </w:r>
      <w:r w:rsidR="0085268D" w:rsidRPr="00035DBF">
        <w:rPr>
          <w:sz w:val="22"/>
          <w:szCs w:val="22"/>
        </w:rPr>
        <w:t xml:space="preserve">located within the </w:t>
      </w:r>
      <w:r w:rsidR="008519A6" w:rsidRPr="00035DBF">
        <w:rPr>
          <w:sz w:val="22"/>
          <w:szCs w:val="22"/>
        </w:rPr>
        <w:t xml:space="preserve">building footprint of the </w:t>
      </w:r>
      <w:r w:rsidR="00F840BA">
        <w:rPr>
          <w:sz w:val="22"/>
          <w:szCs w:val="22"/>
        </w:rPr>
        <w:t>Rear Wing</w:t>
      </w:r>
      <w:r w:rsidR="008519A6" w:rsidRPr="00035DBF">
        <w:rPr>
          <w:sz w:val="22"/>
          <w:szCs w:val="22"/>
        </w:rPr>
        <w:t xml:space="preserve">, </w:t>
      </w:r>
      <w:r w:rsidR="00F840BA">
        <w:rPr>
          <w:sz w:val="22"/>
          <w:szCs w:val="22"/>
        </w:rPr>
        <w:t xml:space="preserve">generally </w:t>
      </w:r>
      <w:r w:rsidR="008519A6" w:rsidRPr="00035DBF">
        <w:rPr>
          <w:sz w:val="22"/>
          <w:szCs w:val="22"/>
        </w:rPr>
        <w:t xml:space="preserve">as </w:t>
      </w:r>
      <w:r w:rsidR="0085268D" w:rsidRPr="00035DBF">
        <w:rPr>
          <w:sz w:val="22"/>
          <w:szCs w:val="22"/>
        </w:rPr>
        <w:t xml:space="preserve">indicated by the area shown in red in Figures 26 and 27 of </w:t>
      </w:r>
      <w:proofErr w:type="spellStart"/>
      <w:r w:rsidR="0085268D" w:rsidRPr="00035DBF">
        <w:rPr>
          <w:sz w:val="22"/>
          <w:szCs w:val="22"/>
        </w:rPr>
        <w:t>Mr</w:t>
      </w:r>
      <w:proofErr w:type="spellEnd"/>
      <w:r w:rsidR="0085268D" w:rsidRPr="00035DBF">
        <w:rPr>
          <w:sz w:val="22"/>
          <w:szCs w:val="22"/>
        </w:rPr>
        <w:t xml:space="preserve"> </w:t>
      </w:r>
      <w:proofErr w:type="spellStart"/>
      <w:r w:rsidR="0085268D" w:rsidRPr="00035DBF">
        <w:rPr>
          <w:sz w:val="22"/>
          <w:szCs w:val="22"/>
        </w:rPr>
        <w:t>Raworth’s</w:t>
      </w:r>
      <w:proofErr w:type="spellEnd"/>
      <w:r w:rsidR="0085268D" w:rsidRPr="00035DBF">
        <w:rPr>
          <w:sz w:val="22"/>
          <w:szCs w:val="22"/>
        </w:rPr>
        <w:t xml:space="preserve"> written statement of evidence, dated 4 April 2019 (see page 25).</w:t>
      </w:r>
      <w:r w:rsidRPr="00035DBF">
        <w:rPr>
          <w:sz w:val="22"/>
          <w:szCs w:val="22"/>
        </w:rPr>
        <w:t xml:space="preserve"> Th</w:t>
      </w:r>
      <w:r w:rsidR="00302301">
        <w:rPr>
          <w:sz w:val="22"/>
          <w:szCs w:val="22"/>
        </w:rPr>
        <w:t>o</w:t>
      </w:r>
      <w:r w:rsidRPr="00035DBF">
        <w:rPr>
          <w:sz w:val="22"/>
          <w:szCs w:val="22"/>
        </w:rPr>
        <w:t>se works include:</w:t>
      </w:r>
      <w:bookmarkEnd w:id="13"/>
    </w:p>
    <w:p w14:paraId="36FA4C59" w14:textId="3296B162" w:rsidR="0014306A" w:rsidRDefault="0014306A" w:rsidP="004C0D23">
      <w:pPr>
        <w:pStyle w:val="BP2"/>
        <w:numPr>
          <w:ilvl w:val="0"/>
          <w:numId w:val="38"/>
        </w:numPr>
        <w:ind w:left="1418" w:hanging="425"/>
        <w:rPr>
          <w:sz w:val="22"/>
          <w:szCs w:val="22"/>
        </w:rPr>
      </w:pPr>
      <w:r>
        <w:rPr>
          <w:sz w:val="22"/>
          <w:szCs w:val="22"/>
        </w:rPr>
        <w:t xml:space="preserve">Ground Level – </w:t>
      </w:r>
      <w:r w:rsidR="00EA4A64">
        <w:rPr>
          <w:sz w:val="22"/>
          <w:szCs w:val="22"/>
        </w:rPr>
        <w:t xml:space="preserve">the </w:t>
      </w:r>
      <w:r>
        <w:rPr>
          <w:sz w:val="22"/>
          <w:szCs w:val="22"/>
        </w:rPr>
        <w:t xml:space="preserve">construction of a pedestrian entrance that provides access to the bicycle/bin storage area </w:t>
      </w:r>
      <w:r w:rsidR="00CD498E">
        <w:rPr>
          <w:sz w:val="22"/>
          <w:szCs w:val="22"/>
        </w:rPr>
        <w:t xml:space="preserve">within the retained portion of the Rear Wing, and </w:t>
      </w:r>
      <w:r>
        <w:rPr>
          <w:sz w:val="22"/>
          <w:szCs w:val="22"/>
        </w:rPr>
        <w:t>storage areas</w:t>
      </w:r>
      <w:r w:rsidR="00CD498E">
        <w:rPr>
          <w:sz w:val="22"/>
          <w:szCs w:val="22"/>
        </w:rPr>
        <w:t xml:space="preserve"> </w:t>
      </w:r>
      <w:r>
        <w:rPr>
          <w:sz w:val="22"/>
          <w:szCs w:val="22"/>
        </w:rPr>
        <w:t>and part of the stairwell</w:t>
      </w:r>
      <w:r w:rsidR="00CD498E">
        <w:rPr>
          <w:sz w:val="22"/>
          <w:szCs w:val="22"/>
        </w:rPr>
        <w:t xml:space="preserve"> within the apartment building;</w:t>
      </w:r>
    </w:p>
    <w:p w14:paraId="5A2309A3" w14:textId="422CC9BA" w:rsidR="0014306A" w:rsidRDefault="0014306A" w:rsidP="004C0D23">
      <w:pPr>
        <w:pStyle w:val="BP2"/>
        <w:numPr>
          <w:ilvl w:val="0"/>
          <w:numId w:val="38"/>
        </w:numPr>
        <w:ind w:left="1418" w:hanging="425"/>
        <w:rPr>
          <w:sz w:val="22"/>
          <w:szCs w:val="22"/>
        </w:rPr>
      </w:pPr>
      <w:r>
        <w:rPr>
          <w:sz w:val="22"/>
          <w:szCs w:val="22"/>
        </w:rPr>
        <w:t xml:space="preserve">Level 1 – </w:t>
      </w:r>
      <w:r w:rsidR="00EA4A64">
        <w:rPr>
          <w:sz w:val="22"/>
          <w:szCs w:val="22"/>
        </w:rPr>
        <w:t xml:space="preserve">the </w:t>
      </w:r>
      <w:r>
        <w:rPr>
          <w:sz w:val="22"/>
          <w:szCs w:val="22"/>
        </w:rPr>
        <w:t xml:space="preserve">construction </w:t>
      </w:r>
      <w:r w:rsidR="006F2B4B">
        <w:rPr>
          <w:sz w:val="22"/>
          <w:szCs w:val="22"/>
        </w:rPr>
        <w:t>of</w:t>
      </w:r>
      <w:r>
        <w:rPr>
          <w:sz w:val="22"/>
          <w:szCs w:val="22"/>
        </w:rPr>
        <w:t xml:space="preserve"> </w:t>
      </w:r>
      <w:r w:rsidR="00241ACB">
        <w:rPr>
          <w:sz w:val="22"/>
          <w:szCs w:val="22"/>
        </w:rPr>
        <w:t xml:space="preserve">outdoor terrace areas to service </w:t>
      </w:r>
      <w:r w:rsidR="006F2B4B">
        <w:rPr>
          <w:sz w:val="22"/>
          <w:szCs w:val="22"/>
        </w:rPr>
        <w:t>A</w:t>
      </w:r>
      <w:r w:rsidR="00241ACB">
        <w:rPr>
          <w:sz w:val="22"/>
          <w:szCs w:val="22"/>
        </w:rPr>
        <w:t xml:space="preserve">partment </w:t>
      </w:r>
      <w:r w:rsidR="006F2B4B">
        <w:rPr>
          <w:sz w:val="22"/>
          <w:szCs w:val="22"/>
        </w:rPr>
        <w:t xml:space="preserve">1 </w:t>
      </w:r>
      <w:r w:rsidR="00241ACB">
        <w:rPr>
          <w:sz w:val="22"/>
          <w:szCs w:val="22"/>
        </w:rPr>
        <w:t>and the residence within the Main House</w:t>
      </w:r>
      <w:r w:rsidR="00CD498E">
        <w:rPr>
          <w:sz w:val="22"/>
          <w:szCs w:val="22"/>
        </w:rPr>
        <w:t>,</w:t>
      </w:r>
      <w:r w:rsidR="006F2B4B">
        <w:rPr>
          <w:sz w:val="22"/>
          <w:szCs w:val="22"/>
        </w:rPr>
        <w:t xml:space="preserve"> and part of the stairwell</w:t>
      </w:r>
      <w:r w:rsidR="00CD498E">
        <w:rPr>
          <w:sz w:val="22"/>
          <w:szCs w:val="22"/>
        </w:rPr>
        <w:t xml:space="preserve"> within the apartment building</w:t>
      </w:r>
      <w:r w:rsidR="00241ACB">
        <w:rPr>
          <w:sz w:val="22"/>
          <w:szCs w:val="22"/>
        </w:rPr>
        <w:t xml:space="preserve">; </w:t>
      </w:r>
    </w:p>
    <w:p w14:paraId="08FBB8FD" w14:textId="4B43CD9F" w:rsidR="00241ACB" w:rsidRDefault="00241ACB" w:rsidP="004C0D23">
      <w:pPr>
        <w:pStyle w:val="BP2"/>
        <w:numPr>
          <w:ilvl w:val="0"/>
          <w:numId w:val="38"/>
        </w:numPr>
        <w:ind w:left="1418" w:hanging="425"/>
        <w:rPr>
          <w:sz w:val="22"/>
          <w:szCs w:val="22"/>
        </w:rPr>
      </w:pPr>
      <w:r>
        <w:rPr>
          <w:sz w:val="22"/>
          <w:szCs w:val="22"/>
        </w:rPr>
        <w:t xml:space="preserve">Levels 2 to 6 – </w:t>
      </w:r>
      <w:r w:rsidR="00EA4A64">
        <w:rPr>
          <w:sz w:val="22"/>
          <w:szCs w:val="22"/>
        </w:rPr>
        <w:t xml:space="preserve">the </w:t>
      </w:r>
      <w:r>
        <w:rPr>
          <w:sz w:val="22"/>
          <w:szCs w:val="22"/>
        </w:rPr>
        <w:t xml:space="preserve">construction of a balcony for each floor </w:t>
      </w:r>
      <w:r w:rsidR="00CD498E">
        <w:rPr>
          <w:sz w:val="22"/>
          <w:szCs w:val="22"/>
        </w:rPr>
        <w:t xml:space="preserve">of the apartment building </w:t>
      </w:r>
      <w:r>
        <w:rPr>
          <w:sz w:val="22"/>
          <w:szCs w:val="22"/>
        </w:rPr>
        <w:t>that partially projects over the new outdoor terrace on Level 1</w:t>
      </w:r>
      <w:r w:rsidR="00F840BA">
        <w:rPr>
          <w:sz w:val="22"/>
          <w:szCs w:val="22"/>
        </w:rPr>
        <w:t>, including a northern ‘wing wall’ for each balcony</w:t>
      </w:r>
      <w:r>
        <w:rPr>
          <w:sz w:val="22"/>
          <w:szCs w:val="22"/>
        </w:rPr>
        <w:t>.</w:t>
      </w:r>
      <w:r w:rsidR="006F2B4B">
        <w:rPr>
          <w:sz w:val="22"/>
          <w:szCs w:val="22"/>
        </w:rPr>
        <w:t xml:space="preserve"> The balconies are setback 10.9 </w:t>
      </w:r>
      <w:proofErr w:type="spellStart"/>
      <w:r w:rsidR="006F2B4B">
        <w:rPr>
          <w:sz w:val="22"/>
          <w:szCs w:val="22"/>
        </w:rPr>
        <w:t>metres</w:t>
      </w:r>
      <w:proofErr w:type="spellEnd"/>
      <w:r w:rsidR="006F2B4B">
        <w:rPr>
          <w:sz w:val="22"/>
          <w:szCs w:val="22"/>
        </w:rPr>
        <w:t xml:space="preserve"> from the external west wall of the Main House</w:t>
      </w:r>
      <w:r w:rsidR="00F840BA">
        <w:rPr>
          <w:sz w:val="22"/>
          <w:szCs w:val="22"/>
        </w:rPr>
        <w:t>;</w:t>
      </w:r>
    </w:p>
    <w:p w14:paraId="0D7A428C" w14:textId="22F8F0DE" w:rsidR="00F840BA" w:rsidRDefault="00474036" w:rsidP="004C0D23">
      <w:pPr>
        <w:pStyle w:val="BP2"/>
        <w:numPr>
          <w:ilvl w:val="0"/>
          <w:numId w:val="38"/>
        </w:numPr>
        <w:ind w:left="1418" w:hanging="425"/>
        <w:rPr>
          <w:sz w:val="22"/>
          <w:szCs w:val="22"/>
        </w:rPr>
      </w:pPr>
      <w:r>
        <w:rPr>
          <w:sz w:val="22"/>
          <w:szCs w:val="22"/>
        </w:rPr>
        <w:t>A</w:t>
      </w:r>
      <w:r w:rsidR="00F840BA">
        <w:rPr>
          <w:sz w:val="22"/>
          <w:szCs w:val="22"/>
        </w:rPr>
        <w:t xml:space="preserve"> relatively small vertical ‘sliver’ of built form, immediately to the south and south east of those balconies, enclosing part of the stairwell, at levels 1 to 6 inclusive.</w:t>
      </w:r>
    </w:p>
    <w:p w14:paraId="18A66AAA" w14:textId="74D20D1E" w:rsidR="00474036" w:rsidRDefault="00474036" w:rsidP="004C0D23">
      <w:pPr>
        <w:pStyle w:val="BP2"/>
        <w:numPr>
          <w:ilvl w:val="0"/>
          <w:numId w:val="38"/>
        </w:numPr>
        <w:ind w:left="1418" w:hanging="425"/>
        <w:rPr>
          <w:sz w:val="22"/>
          <w:szCs w:val="22"/>
        </w:rPr>
      </w:pPr>
      <w:r>
        <w:rPr>
          <w:sz w:val="22"/>
          <w:szCs w:val="22"/>
        </w:rPr>
        <w:t>A relatively small portion of the terrace on Level 7.</w:t>
      </w:r>
    </w:p>
    <w:p w14:paraId="5E339C7C" w14:textId="77FA1FA8" w:rsidR="00A50D97" w:rsidRDefault="00DD4EB6" w:rsidP="004C0D23">
      <w:pPr>
        <w:pStyle w:val="BP2"/>
        <w:numPr>
          <w:ilvl w:val="0"/>
          <w:numId w:val="3"/>
        </w:numPr>
        <w:tabs>
          <w:tab w:val="clear" w:pos="432"/>
          <w:tab w:val="left" w:pos="709"/>
        </w:tabs>
        <w:ind w:left="567" w:hanging="567"/>
        <w:rPr>
          <w:sz w:val="22"/>
          <w:szCs w:val="22"/>
        </w:rPr>
      </w:pPr>
      <w:bookmarkStart w:id="14" w:name="_Ref10619063"/>
      <w:r>
        <w:rPr>
          <w:sz w:val="22"/>
          <w:szCs w:val="22"/>
        </w:rPr>
        <w:t>In respect of section 101(3)</w:t>
      </w:r>
      <w:r w:rsidR="00EB468D">
        <w:rPr>
          <w:sz w:val="22"/>
          <w:szCs w:val="22"/>
        </w:rPr>
        <w:t>(a)</w:t>
      </w:r>
      <w:r>
        <w:rPr>
          <w:sz w:val="22"/>
          <w:szCs w:val="22"/>
        </w:rPr>
        <w:t xml:space="preserve"> of the 2017 Act, </w:t>
      </w:r>
      <w:r w:rsidR="00474036">
        <w:rPr>
          <w:sz w:val="22"/>
          <w:szCs w:val="22"/>
        </w:rPr>
        <w:t xml:space="preserve">and particularly in response to the submissions made on behalf of the Permit Applicant, </w:t>
      </w:r>
      <w:r>
        <w:rPr>
          <w:sz w:val="22"/>
          <w:szCs w:val="22"/>
        </w:rPr>
        <w:t xml:space="preserve">the Committee </w:t>
      </w:r>
      <w:r w:rsidR="00B03EDF">
        <w:rPr>
          <w:sz w:val="22"/>
          <w:szCs w:val="22"/>
        </w:rPr>
        <w:t>concluded that</w:t>
      </w:r>
      <w:r w:rsidR="00474036">
        <w:rPr>
          <w:sz w:val="22"/>
          <w:szCs w:val="22"/>
        </w:rPr>
        <w:t xml:space="preserve"> it is not necessary to consider the effect of the Application to the extent that the Application (as formulated and submitted) depicted certain works that do not require a permit under the 2017 Act.</w:t>
      </w:r>
      <w:r w:rsidR="00B03EDF">
        <w:rPr>
          <w:sz w:val="22"/>
          <w:szCs w:val="22"/>
        </w:rPr>
        <w:t xml:space="preserve"> </w:t>
      </w:r>
      <w:r w:rsidR="00474036">
        <w:rPr>
          <w:sz w:val="22"/>
          <w:szCs w:val="22"/>
        </w:rPr>
        <w:t>I</w:t>
      </w:r>
      <w:r w:rsidR="00B03EDF">
        <w:rPr>
          <w:sz w:val="22"/>
          <w:szCs w:val="22"/>
        </w:rPr>
        <w:t>n considering the effect of the</w:t>
      </w:r>
      <w:r w:rsidR="00D20A8F">
        <w:rPr>
          <w:sz w:val="22"/>
          <w:szCs w:val="22"/>
        </w:rPr>
        <w:t xml:space="preserve"> </w:t>
      </w:r>
      <w:r w:rsidR="00B03EDF">
        <w:rPr>
          <w:sz w:val="22"/>
          <w:szCs w:val="22"/>
        </w:rPr>
        <w:t xml:space="preserve">Application on any adjacent or </w:t>
      </w:r>
      <w:proofErr w:type="spellStart"/>
      <w:r w:rsidR="00B03EDF">
        <w:rPr>
          <w:sz w:val="22"/>
          <w:szCs w:val="22"/>
        </w:rPr>
        <w:t>neighbouring</w:t>
      </w:r>
      <w:proofErr w:type="spellEnd"/>
      <w:r w:rsidR="00B03EDF">
        <w:rPr>
          <w:sz w:val="22"/>
          <w:szCs w:val="22"/>
        </w:rPr>
        <w:t xml:space="preserve"> pr</w:t>
      </w:r>
      <w:r w:rsidR="00CA101C">
        <w:rPr>
          <w:sz w:val="22"/>
          <w:szCs w:val="22"/>
        </w:rPr>
        <w:t>opert</w:t>
      </w:r>
      <w:r w:rsidR="00C70588">
        <w:rPr>
          <w:sz w:val="22"/>
          <w:szCs w:val="22"/>
        </w:rPr>
        <w:t>y</w:t>
      </w:r>
      <w:r w:rsidR="00CA101C">
        <w:rPr>
          <w:sz w:val="22"/>
          <w:szCs w:val="22"/>
        </w:rPr>
        <w:t>, this extends only to</w:t>
      </w:r>
      <w:r w:rsidR="00C70588">
        <w:rPr>
          <w:sz w:val="22"/>
          <w:szCs w:val="22"/>
        </w:rPr>
        <w:t xml:space="preserve"> considering the effect of</w:t>
      </w:r>
      <w:r w:rsidR="00CA101C">
        <w:rPr>
          <w:sz w:val="22"/>
          <w:szCs w:val="22"/>
        </w:rPr>
        <w:t xml:space="preserve"> </w:t>
      </w:r>
      <w:r w:rsidR="00D20A8F">
        <w:rPr>
          <w:sz w:val="22"/>
          <w:szCs w:val="22"/>
        </w:rPr>
        <w:t xml:space="preserve">works </w:t>
      </w:r>
      <w:r w:rsidR="00CA101C">
        <w:rPr>
          <w:sz w:val="22"/>
          <w:szCs w:val="22"/>
        </w:rPr>
        <w:t>and</w:t>
      </w:r>
      <w:r w:rsidR="00D20A8F">
        <w:rPr>
          <w:sz w:val="22"/>
          <w:szCs w:val="22"/>
        </w:rPr>
        <w:t xml:space="preserve"> activities that require a permit under the 2017 Act</w:t>
      </w:r>
      <w:r w:rsidR="00EB468D">
        <w:rPr>
          <w:sz w:val="22"/>
          <w:szCs w:val="22"/>
        </w:rPr>
        <w:t>.</w:t>
      </w:r>
      <w:r w:rsidR="0085268D">
        <w:rPr>
          <w:sz w:val="22"/>
          <w:szCs w:val="22"/>
        </w:rPr>
        <w:t xml:space="preserve"> </w:t>
      </w:r>
      <w:bookmarkEnd w:id="14"/>
      <w:r w:rsidR="00474036">
        <w:rPr>
          <w:sz w:val="22"/>
          <w:szCs w:val="22"/>
        </w:rPr>
        <w:t xml:space="preserve">The Application only validly seeks permission for those components that require a permit under the 2017 Act, not for any additional components of the proposal that are ‘as of right’ – </w:t>
      </w:r>
      <w:proofErr w:type="gramStart"/>
      <w:r w:rsidR="00474036">
        <w:rPr>
          <w:sz w:val="22"/>
          <w:szCs w:val="22"/>
        </w:rPr>
        <w:t>despite the fact that</w:t>
      </w:r>
      <w:proofErr w:type="gramEnd"/>
      <w:r w:rsidR="00474036">
        <w:rPr>
          <w:sz w:val="22"/>
          <w:szCs w:val="22"/>
        </w:rPr>
        <w:t xml:space="preserve"> those ‘as of right’ components have been consistently shown on the application plans. </w:t>
      </w:r>
    </w:p>
    <w:p w14:paraId="6A06E014" w14:textId="0FDB8AFF" w:rsidR="00A94B61" w:rsidRPr="00A94B61" w:rsidRDefault="00A94B61" w:rsidP="00A94B61">
      <w:pPr>
        <w:pStyle w:val="H3AFTER"/>
        <w:keepNext/>
        <w:spacing w:before="240"/>
        <w:rPr>
          <w:b/>
          <w:sz w:val="24"/>
          <w:lang w:eastAsia="en-AU"/>
        </w:rPr>
      </w:pPr>
      <w:r w:rsidRPr="00757082">
        <w:rPr>
          <w:b/>
          <w:sz w:val="24"/>
          <w:lang w:eastAsia="en-AU"/>
        </w:rPr>
        <w:t>ISSUES</w:t>
      </w:r>
    </w:p>
    <w:p w14:paraId="5C6F7AEB" w14:textId="09CA3755" w:rsidR="00757082" w:rsidRDefault="3AB8B1F8" w:rsidP="000411B7">
      <w:pPr>
        <w:pStyle w:val="BP2"/>
        <w:numPr>
          <w:ilvl w:val="0"/>
          <w:numId w:val="3"/>
        </w:numPr>
        <w:tabs>
          <w:tab w:val="clear" w:pos="432"/>
          <w:tab w:val="left" w:pos="709"/>
        </w:tabs>
        <w:ind w:left="567" w:hanging="567"/>
        <w:rPr>
          <w:sz w:val="22"/>
          <w:szCs w:val="22"/>
        </w:rPr>
      </w:pPr>
      <w:r w:rsidRPr="00A94B61">
        <w:rPr>
          <w:sz w:val="22"/>
          <w:szCs w:val="22"/>
        </w:rPr>
        <w:t>The following section is not intended to be a complete record of submissions that were made to the Committee. It is a summary of what the Committee considers to be the key issues, followed by an explanation of the position that the Committee takes on each key issue.</w:t>
      </w:r>
    </w:p>
    <w:p w14:paraId="469203E9" w14:textId="5430C9DD" w:rsidR="00EE3FAC" w:rsidRDefault="00A94B61" w:rsidP="000411B7">
      <w:pPr>
        <w:pStyle w:val="BP2"/>
        <w:numPr>
          <w:ilvl w:val="0"/>
          <w:numId w:val="3"/>
        </w:numPr>
        <w:tabs>
          <w:tab w:val="clear" w:pos="432"/>
          <w:tab w:val="left" w:pos="709"/>
        </w:tabs>
        <w:ind w:left="567" w:hanging="567"/>
        <w:rPr>
          <w:sz w:val="22"/>
          <w:szCs w:val="22"/>
        </w:rPr>
      </w:pPr>
      <w:r>
        <w:rPr>
          <w:sz w:val="22"/>
          <w:szCs w:val="22"/>
        </w:rPr>
        <w:t xml:space="preserve">From the submissions received, </w:t>
      </w:r>
      <w:r w:rsidR="00EE3FAC">
        <w:rPr>
          <w:sz w:val="22"/>
          <w:szCs w:val="22"/>
        </w:rPr>
        <w:t>t</w:t>
      </w:r>
      <w:r w:rsidR="00126223">
        <w:rPr>
          <w:sz w:val="22"/>
          <w:szCs w:val="22"/>
        </w:rPr>
        <w:t>wo</w:t>
      </w:r>
      <w:r>
        <w:rPr>
          <w:sz w:val="22"/>
          <w:szCs w:val="22"/>
        </w:rPr>
        <w:t xml:space="preserve"> key issues emerged:</w:t>
      </w:r>
    </w:p>
    <w:p w14:paraId="7AF9FC33" w14:textId="2A95E15C" w:rsidR="00C70588" w:rsidRDefault="00C70588" w:rsidP="000411B7">
      <w:pPr>
        <w:pStyle w:val="BP2"/>
        <w:numPr>
          <w:ilvl w:val="0"/>
          <w:numId w:val="35"/>
        </w:numPr>
        <w:ind w:left="993" w:hanging="426"/>
        <w:rPr>
          <w:sz w:val="22"/>
          <w:szCs w:val="22"/>
        </w:rPr>
      </w:pPr>
      <w:r>
        <w:rPr>
          <w:sz w:val="22"/>
          <w:szCs w:val="22"/>
        </w:rPr>
        <w:t xml:space="preserve">the impact of </w:t>
      </w:r>
      <w:r w:rsidR="000723A8">
        <w:rPr>
          <w:sz w:val="22"/>
          <w:szCs w:val="22"/>
        </w:rPr>
        <w:t>the demolition of</w:t>
      </w:r>
      <w:r>
        <w:rPr>
          <w:sz w:val="22"/>
          <w:szCs w:val="22"/>
        </w:rPr>
        <w:t xml:space="preserve"> the western </w:t>
      </w:r>
      <w:r w:rsidR="00BE1792">
        <w:rPr>
          <w:sz w:val="22"/>
          <w:szCs w:val="22"/>
        </w:rPr>
        <w:t xml:space="preserve">portion </w:t>
      </w:r>
      <w:r>
        <w:rPr>
          <w:sz w:val="22"/>
          <w:szCs w:val="22"/>
        </w:rPr>
        <w:t xml:space="preserve">of the Rear Wing on the cultural </w:t>
      </w:r>
      <w:r w:rsidR="000723A8">
        <w:rPr>
          <w:sz w:val="22"/>
          <w:szCs w:val="22"/>
        </w:rPr>
        <w:t xml:space="preserve">heritage </w:t>
      </w:r>
      <w:r>
        <w:rPr>
          <w:sz w:val="22"/>
          <w:szCs w:val="22"/>
        </w:rPr>
        <w:t>significance of the Place;</w:t>
      </w:r>
      <w:r w:rsidR="00126223">
        <w:rPr>
          <w:sz w:val="22"/>
          <w:szCs w:val="22"/>
        </w:rPr>
        <w:t xml:space="preserve"> and</w:t>
      </w:r>
    </w:p>
    <w:p w14:paraId="634D373F" w14:textId="76D693EC" w:rsidR="00C70588" w:rsidRDefault="00C70588" w:rsidP="000411B7">
      <w:pPr>
        <w:pStyle w:val="BP2"/>
        <w:numPr>
          <w:ilvl w:val="0"/>
          <w:numId w:val="35"/>
        </w:numPr>
        <w:ind w:left="993" w:hanging="426"/>
        <w:rPr>
          <w:sz w:val="22"/>
          <w:szCs w:val="22"/>
        </w:rPr>
      </w:pPr>
      <w:r>
        <w:rPr>
          <w:sz w:val="22"/>
          <w:szCs w:val="22"/>
        </w:rPr>
        <w:t>the impact of the proposed new works on the cultural heritage significance of the Place</w:t>
      </w:r>
      <w:r w:rsidR="00126223">
        <w:rPr>
          <w:sz w:val="22"/>
          <w:szCs w:val="22"/>
        </w:rPr>
        <w:t xml:space="preserve"> and </w:t>
      </w:r>
      <w:proofErr w:type="spellStart"/>
      <w:r w:rsidR="00126223">
        <w:rPr>
          <w:sz w:val="22"/>
          <w:szCs w:val="22"/>
        </w:rPr>
        <w:t>neighbouring</w:t>
      </w:r>
      <w:proofErr w:type="spellEnd"/>
      <w:r w:rsidR="00126223">
        <w:rPr>
          <w:sz w:val="22"/>
          <w:szCs w:val="22"/>
        </w:rPr>
        <w:t xml:space="preserve"> heritage properties.</w:t>
      </w:r>
    </w:p>
    <w:p w14:paraId="6075C113" w14:textId="77777777" w:rsidR="0013576A" w:rsidRDefault="0013576A" w:rsidP="000723A8">
      <w:pPr>
        <w:pStyle w:val="H4"/>
        <w:spacing w:after="120"/>
        <w:rPr>
          <w:sz w:val="22"/>
        </w:rPr>
      </w:pPr>
    </w:p>
    <w:p w14:paraId="73F7871E" w14:textId="77777777" w:rsidR="0013576A" w:rsidRDefault="0013576A" w:rsidP="000723A8">
      <w:pPr>
        <w:pStyle w:val="H4"/>
        <w:spacing w:after="120"/>
        <w:rPr>
          <w:sz w:val="22"/>
        </w:rPr>
      </w:pPr>
    </w:p>
    <w:p w14:paraId="46E69185" w14:textId="207CEF5D" w:rsidR="00C70588" w:rsidRDefault="000723A8" w:rsidP="000723A8">
      <w:pPr>
        <w:pStyle w:val="H4"/>
        <w:spacing w:after="120"/>
        <w:rPr>
          <w:sz w:val="22"/>
        </w:rPr>
      </w:pPr>
      <w:r>
        <w:rPr>
          <w:sz w:val="22"/>
        </w:rPr>
        <w:lastRenderedPageBreak/>
        <w:t xml:space="preserve">IMPACT OF </w:t>
      </w:r>
      <w:r w:rsidR="005664DE">
        <w:rPr>
          <w:sz w:val="22"/>
        </w:rPr>
        <w:t>DEMOLITION</w:t>
      </w:r>
      <w:r>
        <w:rPr>
          <w:sz w:val="22"/>
        </w:rPr>
        <w:t xml:space="preserve"> ON THE CULTURAL heritage significance of the place</w:t>
      </w:r>
    </w:p>
    <w:p w14:paraId="5AF40AD7" w14:textId="36BB6D3F" w:rsidR="000723A8" w:rsidRPr="00844234" w:rsidRDefault="000723A8" w:rsidP="000723A8">
      <w:pPr>
        <w:pStyle w:val="BP2"/>
        <w:spacing w:before="240" w:after="240"/>
        <w:jc w:val="both"/>
        <w:rPr>
          <w:bCs/>
          <w:i/>
          <w:spacing w:val="-1"/>
          <w:sz w:val="22"/>
          <w:szCs w:val="22"/>
        </w:rPr>
      </w:pPr>
      <w:r w:rsidRPr="00844234">
        <w:rPr>
          <w:bCs/>
          <w:i/>
          <w:spacing w:val="-1"/>
          <w:sz w:val="22"/>
          <w:szCs w:val="22"/>
        </w:rPr>
        <w:t>Summary of submissions and evidence</w:t>
      </w:r>
    </w:p>
    <w:p w14:paraId="77ED8856" w14:textId="0853706E" w:rsidR="003738EB" w:rsidRDefault="3AB8B1F8" w:rsidP="000411B7">
      <w:pPr>
        <w:pStyle w:val="BP2"/>
        <w:numPr>
          <w:ilvl w:val="0"/>
          <w:numId w:val="3"/>
        </w:numPr>
        <w:tabs>
          <w:tab w:val="clear" w:pos="432"/>
          <w:tab w:val="left" w:pos="851"/>
        </w:tabs>
        <w:ind w:left="567" w:hanging="567"/>
        <w:rPr>
          <w:sz w:val="22"/>
          <w:szCs w:val="22"/>
        </w:rPr>
      </w:pPr>
      <w:r w:rsidRPr="000723A8">
        <w:rPr>
          <w:sz w:val="22"/>
          <w:szCs w:val="22"/>
        </w:rPr>
        <w:t>The Executive Dir</w:t>
      </w:r>
      <w:r w:rsidR="000723A8">
        <w:rPr>
          <w:sz w:val="22"/>
          <w:szCs w:val="22"/>
        </w:rPr>
        <w:t xml:space="preserve">ector submitted that the </w:t>
      </w:r>
      <w:r w:rsidR="006D5E8E">
        <w:rPr>
          <w:sz w:val="22"/>
          <w:szCs w:val="22"/>
        </w:rPr>
        <w:t>partial</w:t>
      </w:r>
      <w:r w:rsidR="00C11CDF">
        <w:rPr>
          <w:sz w:val="22"/>
          <w:szCs w:val="22"/>
        </w:rPr>
        <w:t xml:space="preserve"> </w:t>
      </w:r>
      <w:r w:rsidR="000723A8">
        <w:rPr>
          <w:sz w:val="22"/>
          <w:szCs w:val="22"/>
        </w:rPr>
        <w:t xml:space="preserve">demolition </w:t>
      </w:r>
      <w:r w:rsidR="00C11CDF">
        <w:rPr>
          <w:sz w:val="22"/>
          <w:szCs w:val="22"/>
        </w:rPr>
        <w:t xml:space="preserve">of the Rear Wing </w:t>
      </w:r>
      <w:r w:rsidR="00003185">
        <w:rPr>
          <w:sz w:val="22"/>
          <w:szCs w:val="22"/>
        </w:rPr>
        <w:t>w</w:t>
      </w:r>
      <w:r w:rsidR="009A74F7">
        <w:rPr>
          <w:sz w:val="22"/>
          <w:szCs w:val="22"/>
        </w:rPr>
        <w:t>ould</w:t>
      </w:r>
      <w:r w:rsidR="00460032">
        <w:rPr>
          <w:sz w:val="22"/>
          <w:szCs w:val="22"/>
        </w:rPr>
        <w:t xml:space="preserve"> have a</w:t>
      </w:r>
      <w:r w:rsidR="007F1EB5">
        <w:rPr>
          <w:sz w:val="22"/>
          <w:szCs w:val="22"/>
        </w:rPr>
        <w:t xml:space="preserve"> </w:t>
      </w:r>
      <w:r w:rsidR="00460032">
        <w:rPr>
          <w:sz w:val="22"/>
          <w:szCs w:val="22"/>
        </w:rPr>
        <w:t xml:space="preserve">detrimental impact on the cultural heritage significance of the Place </w:t>
      </w:r>
      <w:r w:rsidR="00003185">
        <w:rPr>
          <w:sz w:val="22"/>
          <w:szCs w:val="22"/>
        </w:rPr>
        <w:t xml:space="preserve">by substantially </w:t>
      </w:r>
      <w:r w:rsidR="007F1EB5">
        <w:rPr>
          <w:sz w:val="22"/>
          <w:szCs w:val="22"/>
        </w:rPr>
        <w:t>altering</w:t>
      </w:r>
      <w:r w:rsidR="00003185">
        <w:rPr>
          <w:sz w:val="22"/>
          <w:szCs w:val="22"/>
        </w:rPr>
        <w:t xml:space="preserve"> the</w:t>
      </w:r>
      <w:r w:rsidR="00460032">
        <w:rPr>
          <w:sz w:val="22"/>
          <w:szCs w:val="22"/>
        </w:rPr>
        <w:t xml:space="preserve"> </w:t>
      </w:r>
      <w:r w:rsidR="00003185">
        <w:rPr>
          <w:sz w:val="22"/>
          <w:szCs w:val="22"/>
        </w:rPr>
        <w:t xml:space="preserve">form, extent and legibility of the Rear Wing. In the Executive Director’s view, </w:t>
      </w:r>
      <w:r w:rsidR="007F1EB5">
        <w:rPr>
          <w:sz w:val="22"/>
          <w:szCs w:val="22"/>
        </w:rPr>
        <w:t>the</w:t>
      </w:r>
      <w:r w:rsidR="00C11CDF">
        <w:rPr>
          <w:sz w:val="22"/>
          <w:szCs w:val="22"/>
        </w:rPr>
        <w:t xml:space="preserve"> </w:t>
      </w:r>
      <w:r w:rsidR="006D5E8E">
        <w:rPr>
          <w:sz w:val="22"/>
          <w:szCs w:val="22"/>
        </w:rPr>
        <w:t>proposed demolition</w:t>
      </w:r>
      <w:r w:rsidR="007F1EB5">
        <w:rPr>
          <w:sz w:val="22"/>
          <w:szCs w:val="22"/>
        </w:rPr>
        <w:t xml:space="preserve"> </w:t>
      </w:r>
      <w:r w:rsidR="00C11CDF">
        <w:rPr>
          <w:sz w:val="22"/>
          <w:szCs w:val="22"/>
        </w:rPr>
        <w:t>w</w:t>
      </w:r>
      <w:r w:rsidR="009A74F7">
        <w:rPr>
          <w:sz w:val="22"/>
          <w:szCs w:val="22"/>
        </w:rPr>
        <w:t>ould</w:t>
      </w:r>
      <w:r w:rsidR="00C11CDF">
        <w:rPr>
          <w:sz w:val="22"/>
          <w:szCs w:val="22"/>
        </w:rPr>
        <w:t xml:space="preserve"> </w:t>
      </w:r>
      <w:r w:rsidR="007F1EB5">
        <w:rPr>
          <w:sz w:val="22"/>
          <w:szCs w:val="22"/>
        </w:rPr>
        <w:t xml:space="preserve">significantly reduce </w:t>
      </w:r>
      <w:r w:rsidR="009A74F7">
        <w:rPr>
          <w:sz w:val="22"/>
          <w:szCs w:val="22"/>
        </w:rPr>
        <w:t>a person’s</w:t>
      </w:r>
      <w:r w:rsidR="007F1EB5">
        <w:rPr>
          <w:sz w:val="22"/>
          <w:szCs w:val="22"/>
        </w:rPr>
        <w:t xml:space="preserve"> ability</w:t>
      </w:r>
      <w:r w:rsidR="00003185">
        <w:rPr>
          <w:sz w:val="22"/>
          <w:szCs w:val="22"/>
        </w:rPr>
        <w:t xml:space="preserve"> to </w:t>
      </w:r>
      <w:r w:rsidR="007F1EB5">
        <w:rPr>
          <w:sz w:val="22"/>
          <w:szCs w:val="22"/>
        </w:rPr>
        <w:t xml:space="preserve">read and </w:t>
      </w:r>
      <w:r w:rsidR="006A1863">
        <w:rPr>
          <w:sz w:val="22"/>
          <w:szCs w:val="22"/>
        </w:rPr>
        <w:t>understand</w:t>
      </w:r>
      <w:r w:rsidR="00460032">
        <w:rPr>
          <w:sz w:val="22"/>
          <w:szCs w:val="22"/>
        </w:rPr>
        <w:t xml:space="preserve"> </w:t>
      </w:r>
      <w:r w:rsidR="00003185">
        <w:rPr>
          <w:sz w:val="22"/>
          <w:szCs w:val="22"/>
        </w:rPr>
        <w:t>the</w:t>
      </w:r>
      <w:r w:rsidR="00460032">
        <w:rPr>
          <w:sz w:val="22"/>
          <w:szCs w:val="22"/>
        </w:rPr>
        <w:t xml:space="preserve"> historical use </w:t>
      </w:r>
      <w:r w:rsidR="00003185">
        <w:rPr>
          <w:sz w:val="22"/>
          <w:szCs w:val="22"/>
        </w:rPr>
        <w:t>of the R</w:t>
      </w:r>
      <w:r w:rsidR="003C412D">
        <w:rPr>
          <w:sz w:val="22"/>
          <w:szCs w:val="22"/>
        </w:rPr>
        <w:t>ear</w:t>
      </w:r>
      <w:r w:rsidR="00003185">
        <w:rPr>
          <w:sz w:val="22"/>
          <w:szCs w:val="22"/>
        </w:rPr>
        <w:t xml:space="preserve"> Wing </w:t>
      </w:r>
      <w:r w:rsidR="00460032">
        <w:rPr>
          <w:sz w:val="22"/>
          <w:szCs w:val="22"/>
        </w:rPr>
        <w:t>as a service wing</w:t>
      </w:r>
      <w:r w:rsidR="007F1EB5">
        <w:rPr>
          <w:sz w:val="22"/>
          <w:szCs w:val="22"/>
        </w:rPr>
        <w:t xml:space="preserve">, its functional relationship to the Main House, and </w:t>
      </w:r>
      <w:r w:rsidR="00C11CDF">
        <w:rPr>
          <w:sz w:val="22"/>
          <w:szCs w:val="22"/>
        </w:rPr>
        <w:t>the</w:t>
      </w:r>
      <w:r w:rsidR="007F1EB5">
        <w:rPr>
          <w:sz w:val="22"/>
          <w:szCs w:val="22"/>
        </w:rPr>
        <w:t xml:space="preserve"> </w:t>
      </w:r>
      <w:r w:rsidR="00C11CDF">
        <w:rPr>
          <w:sz w:val="22"/>
          <w:szCs w:val="22"/>
        </w:rPr>
        <w:t xml:space="preserve">overall </w:t>
      </w:r>
      <w:r w:rsidR="006A1863">
        <w:rPr>
          <w:sz w:val="22"/>
          <w:szCs w:val="22"/>
        </w:rPr>
        <w:t>form and scale of the Place</w:t>
      </w:r>
      <w:r w:rsidR="007F1EB5">
        <w:rPr>
          <w:sz w:val="22"/>
          <w:szCs w:val="22"/>
        </w:rPr>
        <w:t>.</w:t>
      </w:r>
    </w:p>
    <w:p w14:paraId="10374B49" w14:textId="50494435" w:rsidR="00003185" w:rsidRDefault="006A1863" w:rsidP="000411B7">
      <w:pPr>
        <w:pStyle w:val="BP2"/>
        <w:numPr>
          <w:ilvl w:val="0"/>
          <w:numId w:val="3"/>
        </w:numPr>
        <w:tabs>
          <w:tab w:val="clear" w:pos="432"/>
          <w:tab w:val="left" w:pos="851"/>
        </w:tabs>
        <w:ind w:left="567" w:hanging="567"/>
        <w:rPr>
          <w:sz w:val="22"/>
          <w:szCs w:val="22"/>
        </w:rPr>
      </w:pPr>
      <w:r>
        <w:rPr>
          <w:sz w:val="22"/>
          <w:szCs w:val="22"/>
        </w:rPr>
        <w:t xml:space="preserve">The Executive Director acknowledged that </w:t>
      </w:r>
      <w:r w:rsidR="007F1EB5">
        <w:rPr>
          <w:sz w:val="22"/>
          <w:szCs w:val="22"/>
        </w:rPr>
        <w:t xml:space="preserve">the Place has been altered internally and externally. However, the Executive Director contended that </w:t>
      </w:r>
      <w:r w:rsidR="006D5E8E">
        <w:rPr>
          <w:sz w:val="22"/>
          <w:szCs w:val="22"/>
        </w:rPr>
        <w:t>it</w:t>
      </w:r>
      <w:r w:rsidR="00C11CDF">
        <w:rPr>
          <w:sz w:val="22"/>
          <w:szCs w:val="22"/>
        </w:rPr>
        <w:t xml:space="preserve"> remains capable of conveying important information about social history and historical building practice</w:t>
      </w:r>
      <w:r w:rsidR="003C412D">
        <w:rPr>
          <w:sz w:val="22"/>
          <w:szCs w:val="22"/>
        </w:rPr>
        <w:t>,</w:t>
      </w:r>
      <w:r w:rsidR="00C11CDF">
        <w:rPr>
          <w:sz w:val="22"/>
          <w:szCs w:val="22"/>
        </w:rPr>
        <w:t xml:space="preserve"> and that many of the alterations c</w:t>
      </w:r>
      <w:r w:rsidR="006D5E8E">
        <w:rPr>
          <w:sz w:val="22"/>
          <w:szCs w:val="22"/>
        </w:rPr>
        <w:t>ould</w:t>
      </w:r>
      <w:r w:rsidR="00C11CDF">
        <w:rPr>
          <w:sz w:val="22"/>
          <w:szCs w:val="22"/>
        </w:rPr>
        <w:t xml:space="preserve"> be easily reversed.</w:t>
      </w:r>
    </w:p>
    <w:p w14:paraId="25CA95A6" w14:textId="1A304CB1" w:rsidR="00F8626E" w:rsidRPr="00302301" w:rsidRDefault="00F8626E" w:rsidP="000411B7">
      <w:pPr>
        <w:pStyle w:val="BP2"/>
        <w:numPr>
          <w:ilvl w:val="0"/>
          <w:numId w:val="3"/>
        </w:numPr>
        <w:tabs>
          <w:tab w:val="clear" w:pos="432"/>
          <w:tab w:val="left" w:pos="851"/>
        </w:tabs>
        <w:ind w:left="567" w:hanging="567"/>
        <w:rPr>
          <w:sz w:val="22"/>
          <w:szCs w:val="22"/>
        </w:rPr>
      </w:pPr>
      <w:r>
        <w:rPr>
          <w:sz w:val="22"/>
          <w:szCs w:val="22"/>
        </w:rPr>
        <w:t>The Officer Report prepared by Heritage Victoria for the Application</w:t>
      </w:r>
      <w:r>
        <w:rPr>
          <w:rStyle w:val="FootnoteReference"/>
          <w:sz w:val="22"/>
          <w:szCs w:val="22"/>
        </w:rPr>
        <w:footnoteReference w:id="7"/>
      </w:r>
      <w:r>
        <w:rPr>
          <w:sz w:val="22"/>
          <w:szCs w:val="22"/>
        </w:rPr>
        <w:t xml:space="preserve"> suggests that the Rear Wing may have accommodated a laundry, kitchen, scullery and servants’ sitting room at ground level, and servant bedrooms on the first floor.</w:t>
      </w:r>
      <w:r w:rsidR="009A74F7">
        <w:rPr>
          <w:sz w:val="22"/>
          <w:szCs w:val="22"/>
        </w:rPr>
        <w:t xml:space="preserve"> </w:t>
      </w:r>
      <w:r w:rsidR="009A74F7" w:rsidRPr="00302301">
        <w:rPr>
          <w:sz w:val="22"/>
          <w:szCs w:val="22"/>
        </w:rPr>
        <w:t>The Executive Director provided some documentary evidenc</w:t>
      </w:r>
      <w:r w:rsidR="00302301" w:rsidRPr="00302301">
        <w:rPr>
          <w:sz w:val="22"/>
          <w:szCs w:val="22"/>
        </w:rPr>
        <w:t xml:space="preserve">e in relation to </w:t>
      </w:r>
      <w:r w:rsidR="00302301">
        <w:rPr>
          <w:sz w:val="22"/>
          <w:szCs w:val="22"/>
        </w:rPr>
        <w:t>the original layout of the Rear Wing but did not identify any physical evidence of historic service provision that remains within the building.</w:t>
      </w:r>
    </w:p>
    <w:p w14:paraId="65964BC1" w14:textId="463B09FC" w:rsidR="00AE501B" w:rsidRDefault="00AE501B" w:rsidP="000411B7">
      <w:pPr>
        <w:pStyle w:val="BP2"/>
        <w:numPr>
          <w:ilvl w:val="0"/>
          <w:numId w:val="3"/>
        </w:numPr>
        <w:tabs>
          <w:tab w:val="clear" w:pos="432"/>
          <w:tab w:val="left" w:pos="851"/>
        </w:tabs>
        <w:ind w:left="567" w:hanging="567"/>
        <w:rPr>
          <w:sz w:val="22"/>
          <w:szCs w:val="22"/>
        </w:rPr>
      </w:pPr>
      <w:proofErr w:type="spellStart"/>
      <w:r>
        <w:rPr>
          <w:sz w:val="22"/>
          <w:szCs w:val="22"/>
        </w:rPr>
        <w:t>Ms</w:t>
      </w:r>
      <w:proofErr w:type="spellEnd"/>
      <w:r>
        <w:rPr>
          <w:sz w:val="22"/>
          <w:szCs w:val="22"/>
        </w:rPr>
        <w:t xml:space="preserve"> Elliot and several other submitters agreed with the Executive Director’s assessment and made submissions to the effect that the proposed demolition would significantly alter the overall form, scale and footprint of the Place</w:t>
      </w:r>
      <w:r w:rsidR="00B304DF">
        <w:rPr>
          <w:sz w:val="22"/>
          <w:szCs w:val="22"/>
        </w:rPr>
        <w:t xml:space="preserve"> and result in the loss of significant original fabric.</w:t>
      </w:r>
    </w:p>
    <w:p w14:paraId="61FADC64" w14:textId="1D5733AE" w:rsidR="00B42DEC" w:rsidRDefault="00B42DEC" w:rsidP="000411B7">
      <w:pPr>
        <w:pStyle w:val="BP2"/>
        <w:numPr>
          <w:ilvl w:val="0"/>
          <w:numId w:val="3"/>
        </w:numPr>
        <w:tabs>
          <w:tab w:val="clear" w:pos="432"/>
          <w:tab w:val="left" w:pos="851"/>
        </w:tabs>
        <w:ind w:left="567" w:hanging="567"/>
        <w:rPr>
          <w:sz w:val="22"/>
          <w:szCs w:val="22"/>
        </w:rPr>
      </w:pPr>
      <w:proofErr w:type="spellStart"/>
      <w:r>
        <w:rPr>
          <w:sz w:val="22"/>
          <w:szCs w:val="22"/>
        </w:rPr>
        <w:t>Yarra</w:t>
      </w:r>
      <w:proofErr w:type="spellEnd"/>
      <w:r>
        <w:rPr>
          <w:sz w:val="22"/>
          <w:szCs w:val="22"/>
        </w:rPr>
        <w:t xml:space="preserve"> </w:t>
      </w:r>
      <w:r w:rsidR="00A24DED">
        <w:rPr>
          <w:sz w:val="22"/>
          <w:szCs w:val="22"/>
        </w:rPr>
        <w:t>and other submitters expressed the view</w:t>
      </w:r>
      <w:r>
        <w:rPr>
          <w:sz w:val="22"/>
          <w:szCs w:val="22"/>
        </w:rPr>
        <w:t xml:space="preserve"> that the historical significance of the Place is not confined to its façade or front rooms but includes the entire building as its design exemplifies the cultural significance of how houses of the wealthy provided more constrained accommodation at the rear for household staff.</w:t>
      </w:r>
    </w:p>
    <w:p w14:paraId="4ADBAD56" w14:textId="63BB6C10" w:rsidR="000C7CF0" w:rsidRDefault="00C11CDF" w:rsidP="000411B7">
      <w:pPr>
        <w:pStyle w:val="BP2"/>
        <w:numPr>
          <w:ilvl w:val="0"/>
          <w:numId w:val="3"/>
        </w:numPr>
        <w:tabs>
          <w:tab w:val="clear" w:pos="432"/>
          <w:tab w:val="left" w:pos="851"/>
        </w:tabs>
        <w:ind w:left="567" w:hanging="567"/>
        <w:rPr>
          <w:sz w:val="22"/>
          <w:szCs w:val="22"/>
        </w:rPr>
      </w:pPr>
      <w:r>
        <w:rPr>
          <w:sz w:val="22"/>
          <w:szCs w:val="22"/>
        </w:rPr>
        <w:t xml:space="preserve">The Permit Applicant submitted that the extent of demolition must be assessed based on the facts and circumstances of </w:t>
      </w:r>
      <w:r w:rsidR="000C7CF0">
        <w:rPr>
          <w:sz w:val="22"/>
          <w:szCs w:val="22"/>
        </w:rPr>
        <w:t>the</w:t>
      </w:r>
      <w:r>
        <w:rPr>
          <w:sz w:val="22"/>
          <w:szCs w:val="22"/>
        </w:rPr>
        <w:t xml:space="preserve"> case. Relying on the expert evidence of </w:t>
      </w: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and </w:t>
      </w:r>
      <w:proofErr w:type="spellStart"/>
      <w:r>
        <w:rPr>
          <w:sz w:val="22"/>
          <w:szCs w:val="22"/>
        </w:rPr>
        <w:t>Ms</w:t>
      </w:r>
      <w:proofErr w:type="spellEnd"/>
      <w:r>
        <w:rPr>
          <w:sz w:val="22"/>
          <w:szCs w:val="22"/>
        </w:rPr>
        <w:t xml:space="preserve"> Gray, the Permit Applicant submitted that the </w:t>
      </w:r>
      <w:r w:rsidR="000C7CF0">
        <w:rPr>
          <w:sz w:val="22"/>
          <w:szCs w:val="22"/>
        </w:rPr>
        <w:t xml:space="preserve">cultural heritage significance of the Place </w:t>
      </w:r>
      <w:r w:rsidR="003C412D">
        <w:rPr>
          <w:sz w:val="22"/>
          <w:szCs w:val="22"/>
        </w:rPr>
        <w:t>w</w:t>
      </w:r>
      <w:r w:rsidR="009A74F7">
        <w:rPr>
          <w:sz w:val="22"/>
          <w:szCs w:val="22"/>
        </w:rPr>
        <w:t>ould</w:t>
      </w:r>
      <w:r w:rsidR="003C412D">
        <w:rPr>
          <w:sz w:val="22"/>
          <w:szCs w:val="22"/>
        </w:rPr>
        <w:t xml:space="preserve"> not be adversely affected </w:t>
      </w:r>
      <w:r w:rsidR="009A74F7">
        <w:rPr>
          <w:sz w:val="22"/>
          <w:szCs w:val="22"/>
        </w:rPr>
        <w:t xml:space="preserve">by the demolition works </w:t>
      </w:r>
      <w:r w:rsidR="000C7CF0">
        <w:rPr>
          <w:sz w:val="22"/>
          <w:szCs w:val="22"/>
        </w:rPr>
        <w:t>because:</w:t>
      </w:r>
    </w:p>
    <w:p w14:paraId="28344A50" w14:textId="664AA3BB" w:rsidR="000C7CF0" w:rsidRDefault="003C412D" w:rsidP="000411B7">
      <w:pPr>
        <w:pStyle w:val="BP2"/>
        <w:numPr>
          <w:ilvl w:val="0"/>
          <w:numId w:val="36"/>
        </w:numPr>
        <w:ind w:left="993" w:hanging="426"/>
        <w:rPr>
          <w:sz w:val="22"/>
          <w:szCs w:val="22"/>
        </w:rPr>
      </w:pPr>
      <w:r>
        <w:rPr>
          <w:sz w:val="22"/>
          <w:szCs w:val="22"/>
        </w:rPr>
        <w:t xml:space="preserve">the Statement of Significance does not identify </w:t>
      </w:r>
      <w:r w:rsidR="006D5E8E">
        <w:rPr>
          <w:sz w:val="22"/>
          <w:szCs w:val="22"/>
        </w:rPr>
        <w:t xml:space="preserve">the </w:t>
      </w:r>
      <w:r w:rsidR="000C7CF0">
        <w:rPr>
          <w:sz w:val="22"/>
          <w:szCs w:val="22"/>
        </w:rPr>
        <w:t xml:space="preserve">Rear Wing </w:t>
      </w:r>
      <w:r w:rsidR="006D5E8E">
        <w:rPr>
          <w:sz w:val="22"/>
          <w:szCs w:val="22"/>
        </w:rPr>
        <w:t>as a significant element</w:t>
      </w:r>
      <w:r w:rsidR="000C7CF0">
        <w:rPr>
          <w:sz w:val="22"/>
          <w:szCs w:val="22"/>
        </w:rPr>
        <w:t>;</w:t>
      </w:r>
    </w:p>
    <w:p w14:paraId="791398FB" w14:textId="75178B35" w:rsidR="000C7CF0" w:rsidRDefault="000C7CF0" w:rsidP="000411B7">
      <w:pPr>
        <w:pStyle w:val="BP2"/>
        <w:numPr>
          <w:ilvl w:val="0"/>
          <w:numId w:val="36"/>
        </w:numPr>
        <w:ind w:left="993" w:hanging="426"/>
        <w:rPr>
          <w:sz w:val="22"/>
          <w:szCs w:val="22"/>
        </w:rPr>
      </w:pPr>
      <w:r>
        <w:rPr>
          <w:sz w:val="22"/>
          <w:szCs w:val="22"/>
        </w:rPr>
        <w:t xml:space="preserve">the </w:t>
      </w:r>
      <w:r w:rsidR="006D5E8E">
        <w:rPr>
          <w:sz w:val="22"/>
          <w:szCs w:val="22"/>
        </w:rPr>
        <w:t xml:space="preserve">integrity of the </w:t>
      </w:r>
      <w:r>
        <w:rPr>
          <w:sz w:val="22"/>
          <w:szCs w:val="22"/>
        </w:rPr>
        <w:t xml:space="preserve">Rear Wing is highly diminished and compromised </w:t>
      </w:r>
      <w:r w:rsidR="006D5E8E">
        <w:rPr>
          <w:sz w:val="22"/>
          <w:szCs w:val="22"/>
        </w:rPr>
        <w:t xml:space="preserve">due to </w:t>
      </w:r>
      <w:r w:rsidR="00B304DF">
        <w:rPr>
          <w:sz w:val="22"/>
          <w:szCs w:val="22"/>
        </w:rPr>
        <w:t>extensive internal and external</w:t>
      </w:r>
      <w:r>
        <w:rPr>
          <w:sz w:val="22"/>
          <w:szCs w:val="22"/>
        </w:rPr>
        <w:t xml:space="preserve"> alter</w:t>
      </w:r>
      <w:r w:rsidR="006D5E8E">
        <w:rPr>
          <w:sz w:val="22"/>
          <w:szCs w:val="22"/>
        </w:rPr>
        <w:t>ations</w:t>
      </w:r>
      <w:r>
        <w:rPr>
          <w:sz w:val="22"/>
          <w:szCs w:val="22"/>
        </w:rPr>
        <w:t>; and</w:t>
      </w:r>
    </w:p>
    <w:p w14:paraId="2D40C0E1" w14:textId="5C5A4EAE" w:rsidR="000C7CF0" w:rsidRDefault="00B304DF" w:rsidP="000411B7">
      <w:pPr>
        <w:pStyle w:val="BP2"/>
        <w:numPr>
          <w:ilvl w:val="0"/>
          <w:numId w:val="36"/>
        </w:numPr>
        <w:ind w:left="993" w:hanging="426"/>
        <w:rPr>
          <w:sz w:val="22"/>
          <w:szCs w:val="22"/>
        </w:rPr>
      </w:pPr>
      <w:r>
        <w:rPr>
          <w:sz w:val="22"/>
          <w:szCs w:val="22"/>
        </w:rPr>
        <w:t xml:space="preserve">the Rear Wing is plain and generic in character </w:t>
      </w:r>
      <w:r w:rsidR="000C7CF0">
        <w:rPr>
          <w:sz w:val="22"/>
          <w:szCs w:val="22"/>
        </w:rPr>
        <w:t>compared to the Main House.</w:t>
      </w:r>
    </w:p>
    <w:p w14:paraId="7A7E125E" w14:textId="519D5961" w:rsidR="00B15311" w:rsidRDefault="000C7CF0"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r w:rsidR="00B15311">
        <w:rPr>
          <w:sz w:val="22"/>
          <w:szCs w:val="22"/>
        </w:rPr>
        <w:t>’s</w:t>
      </w:r>
      <w:proofErr w:type="spellEnd"/>
      <w:r w:rsidR="00B15311">
        <w:rPr>
          <w:sz w:val="22"/>
          <w:szCs w:val="22"/>
        </w:rPr>
        <w:t xml:space="preserve"> </w:t>
      </w:r>
      <w:r w:rsidR="00B57E1C">
        <w:rPr>
          <w:sz w:val="22"/>
          <w:szCs w:val="22"/>
        </w:rPr>
        <w:t>opinion</w:t>
      </w:r>
      <w:r w:rsidR="00B15311">
        <w:rPr>
          <w:sz w:val="22"/>
          <w:szCs w:val="22"/>
        </w:rPr>
        <w:t xml:space="preserve"> was</w:t>
      </w:r>
      <w:r>
        <w:rPr>
          <w:sz w:val="22"/>
          <w:szCs w:val="22"/>
        </w:rPr>
        <w:t xml:space="preserve"> that </w:t>
      </w:r>
      <w:r w:rsidR="000018D1">
        <w:rPr>
          <w:sz w:val="22"/>
          <w:szCs w:val="22"/>
        </w:rPr>
        <w:t xml:space="preserve">the </w:t>
      </w:r>
      <w:r>
        <w:rPr>
          <w:sz w:val="22"/>
          <w:szCs w:val="22"/>
        </w:rPr>
        <w:t xml:space="preserve">Rear Wing </w:t>
      </w:r>
      <w:r w:rsidR="001708CE">
        <w:rPr>
          <w:sz w:val="22"/>
          <w:szCs w:val="22"/>
        </w:rPr>
        <w:t xml:space="preserve">is of low integrity and </w:t>
      </w:r>
      <w:r w:rsidR="00B304DF">
        <w:rPr>
          <w:sz w:val="22"/>
          <w:szCs w:val="22"/>
        </w:rPr>
        <w:t xml:space="preserve">low </w:t>
      </w:r>
      <w:r w:rsidR="001708CE">
        <w:rPr>
          <w:sz w:val="22"/>
          <w:szCs w:val="22"/>
        </w:rPr>
        <w:t>heritage value, as it has been substantially modified</w:t>
      </w:r>
      <w:r w:rsidR="00B15311">
        <w:rPr>
          <w:sz w:val="22"/>
          <w:szCs w:val="22"/>
        </w:rPr>
        <w:t xml:space="preserve"> </w:t>
      </w:r>
      <w:r w:rsidR="00041DEB">
        <w:rPr>
          <w:sz w:val="22"/>
          <w:szCs w:val="22"/>
        </w:rPr>
        <w:t xml:space="preserve">such that there is little remaining </w:t>
      </w:r>
      <w:r w:rsidR="003C412D">
        <w:rPr>
          <w:sz w:val="22"/>
          <w:szCs w:val="22"/>
        </w:rPr>
        <w:t xml:space="preserve">internal fabric or </w:t>
      </w:r>
      <w:r w:rsidR="001708CE">
        <w:rPr>
          <w:sz w:val="22"/>
          <w:szCs w:val="22"/>
        </w:rPr>
        <w:t>evidence of its original external character</w:t>
      </w:r>
      <w:r w:rsidR="00B15311">
        <w:rPr>
          <w:sz w:val="22"/>
          <w:szCs w:val="22"/>
        </w:rPr>
        <w:t>.</w:t>
      </w:r>
    </w:p>
    <w:p w14:paraId="3FEEC385" w14:textId="11CCF0EF" w:rsidR="006D5E8E" w:rsidRDefault="00B34AC0" w:rsidP="000411B7">
      <w:pPr>
        <w:pStyle w:val="BP2"/>
        <w:numPr>
          <w:ilvl w:val="0"/>
          <w:numId w:val="3"/>
        </w:numPr>
        <w:tabs>
          <w:tab w:val="clear" w:pos="432"/>
          <w:tab w:val="left" w:pos="709"/>
        </w:tabs>
        <w:ind w:left="567" w:hanging="567"/>
        <w:rPr>
          <w:sz w:val="22"/>
          <w:szCs w:val="22"/>
        </w:rPr>
      </w:pPr>
      <w:proofErr w:type="spellStart"/>
      <w:r>
        <w:rPr>
          <w:sz w:val="22"/>
          <w:szCs w:val="22"/>
        </w:rPr>
        <w:lastRenderedPageBreak/>
        <w:t>Mr</w:t>
      </w:r>
      <w:proofErr w:type="spellEnd"/>
      <w:r>
        <w:rPr>
          <w:sz w:val="22"/>
          <w:szCs w:val="22"/>
        </w:rPr>
        <w:t xml:space="preserve"> </w:t>
      </w:r>
      <w:proofErr w:type="spellStart"/>
      <w:r>
        <w:rPr>
          <w:sz w:val="22"/>
          <w:szCs w:val="22"/>
        </w:rPr>
        <w:t>Raworth’s</w:t>
      </w:r>
      <w:proofErr w:type="spellEnd"/>
      <w:r>
        <w:rPr>
          <w:sz w:val="22"/>
          <w:szCs w:val="22"/>
        </w:rPr>
        <w:t xml:space="preserve"> evidence included detailed descript</w:t>
      </w:r>
      <w:r w:rsidR="00190BC2">
        <w:rPr>
          <w:sz w:val="22"/>
          <w:szCs w:val="22"/>
        </w:rPr>
        <w:t>i</w:t>
      </w:r>
      <w:r>
        <w:rPr>
          <w:sz w:val="22"/>
          <w:szCs w:val="22"/>
        </w:rPr>
        <w:t xml:space="preserve">ons of the current condition of the Rear Wing. </w:t>
      </w:r>
      <w:r w:rsidR="006D5E8E">
        <w:rPr>
          <w:sz w:val="22"/>
          <w:szCs w:val="22"/>
        </w:rPr>
        <w:t xml:space="preserve">Among other things, </w:t>
      </w:r>
      <w:proofErr w:type="spellStart"/>
      <w:r w:rsidR="006D5E8E">
        <w:rPr>
          <w:sz w:val="22"/>
          <w:szCs w:val="22"/>
        </w:rPr>
        <w:t>Mr</w:t>
      </w:r>
      <w:proofErr w:type="spellEnd"/>
      <w:r w:rsidR="006D5E8E">
        <w:rPr>
          <w:sz w:val="22"/>
          <w:szCs w:val="22"/>
        </w:rPr>
        <w:t xml:space="preserve"> </w:t>
      </w:r>
      <w:proofErr w:type="spellStart"/>
      <w:r w:rsidR="006D5E8E">
        <w:rPr>
          <w:sz w:val="22"/>
          <w:szCs w:val="22"/>
        </w:rPr>
        <w:t>Raworth</w:t>
      </w:r>
      <w:proofErr w:type="spellEnd"/>
      <w:r w:rsidR="006D5E8E">
        <w:rPr>
          <w:sz w:val="22"/>
          <w:szCs w:val="22"/>
        </w:rPr>
        <w:t xml:space="preserve"> </w:t>
      </w:r>
      <w:r w:rsidR="005C461E">
        <w:rPr>
          <w:sz w:val="22"/>
          <w:szCs w:val="22"/>
        </w:rPr>
        <w:t>noted</w:t>
      </w:r>
      <w:r w:rsidR="006D5E8E">
        <w:rPr>
          <w:sz w:val="22"/>
          <w:szCs w:val="22"/>
        </w:rPr>
        <w:t xml:space="preserve"> that:</w:t>
      </w:r>
    </w:p>
    <w:p w14:paraId="1B88C0FB" w14:textId="70939D3D" w:rsidR="001C0504" w:rsidRDefault="005C461E" w:rsidP="000411B7">
      <w:pPr>
        <w:pStyle w:val="BP2"/>
        <w:numPr>
          <w:ilvl w:val="0"/>
          <w:numId w:val="37"/>
        </w:numPr>
        <w:ind w:left="993" w:hanging="426"/>
        <w:rPr>
          <w:sz w:val="22"/>
          <w:szCs w:val="22"/>
        </w:rPr>
      </w:pPr>
      <w:r>
        <w:rPr>
          <w:sz w:val="22"/>
          <w:szCs w:val="22"/>
        </w:rPr>
        <w:t xml:space="preserve">the internal layout </w:t>
      </w:r>
      <w:r w:rsidR="009A74F7">
        <w:rPr>
          <w:sz w:val="22"/>
          <w:szCs w:val="22"/>
        </w:rPr>
        <w:t>of</w:t>
      </w:r>
      <w:r>
        <w:rPr>
          <w:sz w:val="22"/>
          <w:szCs w:val="22"/>
        </w:rPr>
        <w:t xml:space="preserve"> </w:t>
      </w:r>
      <w:r w:rsidR="009A74F7">
        <w:rPr>
          <w:sz w:val="22"/>
          <w:szCs w:val="22"/>
        </w:rPr>
        <w:t xml:space="preserve">the </w:t>
      </w:r>
      <w:r>
        <w:rPr>
          <w:sz w:val="22"/>
          <w:szCs w:val="22"/>
        </w:rPr>
        <w:t xml:space="preserve">ground </w:t>
      </w:r>
      <w:r w:rsidR="009A74F7">
        <w:rPr>
          <w:sz w:val="22"/>
          <w:szCs w:val="22"/>
        </w:rPr>
        <w:t xml:space="preserve">floor </w:t>
      </w:r>
      <w:r>
        <w:rPr>
          <w:sz w:val="22"/>
          <w:szCs w:val="22"/>
        </w:rPr>
        <w:t xml:space="preserve">level has been substantially modified such that there is little </w:t>
      </w:r>
      <w:r w:rsidR="00041DEB">
        <w:rPr>
          <w:sz w:val="22"/>
          <w:szCs w:val="22"/>
        </w:rPr>
        <w:t xml:space="preserve">remaining </w:t>
      </w:r>
      <w:r>
        <w:rPr>
          <w:sz w:val="22"/>
          <w:szCs w:val="22"/>
        </w:rPr>
        <w:t xml:space="preserve">original </w:t>
      </w:r>
      <w:r w:rsidR="00041DEB">
        <w:rPr>
          <w:sz w:val="22"/>
          <w:szCs w:val="22"/>
        </w:rPr>
        <w:t xml:space="preserve">internal </w:t>
      </w:r>
      <w:r>
        <w:rPr>
          <w:sz w:val="22"/>
          <w:szCs w:val="22"/>
        </w:rPr>
        <w:t>fabric</w:t>
      </w:r>
      <w:r w:rsidR="001C0504">
        <w:rPr>
          <w:sz w:val="22"/>
          <w:szCs w:val="22"/>
        </w:rPr>
        <w:t>;</w:t>
      </w:r>
    </w:p>
    <w:p w14:paraId="651D534B" w14:textId="1D2E9A04" w:rsidR="005C461E" w:rsidRDefault="00041DEB" w:rsidP="000411B7">
      <w:pPr>
        <w:pStyle w:val="BP2"/>
        <w:numPr>
          <w:ilvl w:val="0"/>
          <w:numId w:val="37"/>
        </w:numPr>
        <w:ind w:left="993" w:hanging="426"/>
        <w:rPr>
          <w:sz w:val="22"/>
          <w:szCs w:val="22"/>
        </w:rPr>
      </w:pPr>
      <w:r>
        <w:rPr>
          <w:sz w:val="22"/>
          <w:szCs w:val="22"/>
        </w:rPr>
        <w:t xml:space="preserve">while </w:t>
      </w:r>
      <w:r w:rsidR="001C0504">
        <w:rPr>
          <w:sz w:val="22"/>
          <w:szCs w:val="22"/>
        </w:rPr>
        <w:t>the original inter</w:t>
      </w:r>
      <w:r>
        <w:rPr>
          <w:sz w:val="22"/>
          <w:szCs w:val="22"/>
        </w:rPr>
        <w:t>nal</w:t>
      </w:r>
      <w:r w:rsidR="001C0504">
        <w:rPr>
          <w:sz w:val="22"/>
          <w:szCs w:val="22"/>
        </w:rPr>
        <w:t xml:space="preserve"> </w:t>
      </w:r>
      <w:r w:rsidR="003C412D">
        <w:rPr>
          <w:sz w:val="22"/>
          <w:szCs w:val="22"/>
        </w:rPr>
        <w:t>layout</w:t>
      </w:r>
      <w:r w:rsidR="001C0504">
        <w:rPr>
          <w:sz w:val="22"/>
          <w:szCs w:val="22"/>
        </w:rPr>
        <w:t xml:space="preserve"> </w:t>
      </w:r>
      <w:r w:rsidR="009A74F7">
        <w:rPr>
          <w:sz w:val="22"/>
          <w:szCs w:val="22"/>
        </w:rPr>
        <w:t>of</w:t>
      </w:r>
      <w:r w:rsidR="001C0504">
        <w:rPr>
          <w:sz w:val="22"/>
          <w:szCs w:val="22"/>
        </w:rPr>
        <w:t xml:space="preserve"> </w:t>
      </w:r>
      <w:r w:rsidR="009A74F7">
        <w:rPr>
          <w:sz w:val="22"/>
          <w:szCs w:val="22"/>
        </w:rPr>
        <w:t xml:space="preserve">the </w:t>
      </w:r>
      <w:proofErr w:type="gramStart"/>
      <w:r w:rsidR="001C0504">
        <w:rPr>
          <w:sz w:val="22"/>
          <w:szCs w:val="22"/>
        </w:rPr>
        <w:t>first floor</w:t>
      </w:r>
      <w:proofErr w:type="gramEnd"/>
      <w:r w:rsidR="001C0504">
        <w:rPr>
          <w:sz w:val="22"/>
          <w:szCs w:val="22"/>
        </w:rPr>
        <w:t xml:space="preserve"> level is evident</w:t>
      </w:r>
      <w:r>
        <w:rPr>
          <w:sz w:val="22"/>
          <w:szCs w:val="22"/>
        </w:rPr>
        <w:t>,</w:t>
      </w:r>
      <w:r w:rsidR="001C0504">
        <w:rPr>
          <w:sz w:val="22"/>
          <w:szCs w:val="22"/>
        </w:rPr>
        <w:t xml:space="preserve"> the </w:t>
      </w:r>
      <w:r w:rsidR="00B304DF">
        <w:rPr>
          <w:sz w:val="22"/>
          <w:szCs w:val="22"/>
        </w:rPr>
        <w:t>rooms</w:t>
      </w:r>
      <w:r w:rsidR="001C0504">
        <w:rPr>
          <w:sz w:val="22"/>
          <w:szCs w:val="22"/>
        </w:rPr>
        <w:t xml:space="preserve"> have been refurbished and new fabric introduced</w:t>
      </w:r>
      <w:r w:rsidR="005C461E">
        <w:rPr>
          <w:sz w:val="22"/>
          <w:szCs w:val="22"/>
        </w:rPr>
        <w:t>;</w:t>
      </w:r>
    </w:p>
    <w:p w14:paraId="6BACC281" w14:textId="5EE43EE7" w:rsidR="00B34AC0" w:rsidRDefault="006D5E8E" w:rsidP="000411B7">
      <w:pPr>
        <w:pStyle w:val="BP2"/>
        <w:numPr>
          <w:ilvl w:val="0"/>
          <w:numId w:val="37"/>
        </w:numPr>
        <w:ind w:left="993" w:hanging="426"/>
        <w:rPr>
          <w:sz w:val="22"/>
          <w:szCs w:val="22"/>
        </w:rPr>
      </w:pPr>
      <w:r>
        <w:rPr>
          <w:sz w:val="22"/>
          <w:szCs w:val="22"/>
        </w:rPr>
        <w:t xml:space="preserve">the ground floor </w:t>
      </w:r>
      <w:r w:rsidR="001C0504">
        <w:rPr>
          <w:sz w:val="22"/>
          <w:szCs w:val="22"/>
        </w:rPr>
        <w:t>level</w:t>
      </w:r>
      <w:r>
        <w:rPr>
          <w:sz w:val="22"/>
          <w:szCs w:val="22"/>
        </w:rPr>
        <w:t xml:space="preserve"> </w:t>
      </w:r>
      <w:r w:rsidR="001D7FF4">
        <w:rPr>
          <w:sz w:val="22"/>
          <w:szCs w:val="22"/>
        </w:rPr>
        <w:t xml:space="preserve">is largely concealed from </w:t>
      </w:r>
      <w:r w:rsidR="00041DEB">
        <w:rPr>
          <w:sz w:val="22"/>
          <w:szCs w:val="22"/>
        </w:rPr>
        <w:t xml:space="preserve">external </w:t>
      </w:r>
      <w:r w:rsidR="001D7FF4">
        <w:rPr>
          <w:sz w:val="22"/>
          <w:szCs w:val="22"/>
        </w:rPr>
        <w:t xml:space="preserve">view due to the construction of a ground floor addition </w:t>
      </w:r>
      <w:r w:rsidR="001C0504">
        <w:rPr>
          <w:sz w:val="22"/>
          <w:szCs w:val="22"/>
        </w:rPr>
        <w:t xml:space="preserve">on the </w:t>
      </w:r>
      <w:r w:rsidR="003C412D">
        <w:rPr>
          <w:sz w:val="22"/>
          <w:szCs w:val="22"/>
        </w:rPr>
        <w:t xml:space="preserve">south side of the </w:t>
      </w:r>
      <w:r w:rsidR="001C0504">
        <w:rPr>
          <w:sz w:val="22"/>
          <w:szCs w:val="22"/>
        </w:rPr>
        <w:t>Rear Wing</w:t>
      </w:r>
      <w:r w:rsidR="00237084">
        <w:rPr>
          <w:sz w:val="22"/>
          <w:szCs w:val="22"/>
        </w:rPr>
        <w:t>;</w:t>
      </w:r>
    </w:p>
    <w:p w14:paraId="433CAA08" w14:textId="62236822" w:rsidR="005C461E" w:rsidRDefault="005C461E" w:rsidP="000411B7">
      <w:pPr>
        <w:pStyle w:val="BP2"/>
        <w:numPr>
          <w:ilvl w:val="0"/>
          <w:numId w:val="37"/>
        </w:numPr>
        <w:ind w:left="993" w:hanging="426"/>
        <w:rPr>
          <w:sz w:val="22"/>
          <w:szCs w:val="22"/>
        </w:rPr>
      </w:pPr>
      <w:r>
        <w:rPr>
          <w:sz w:val="22"/>
          <w:szCs w:val="22"/>
        </w:rPr>
        <w:t xml:space="preserve">the external south elevation </w:t>
      </w:r>
      <w:r w:rsidR="00B304DF">
        <w:rPr>
          <w:sz w:val="22"/>
          <w:szCs w:val="22"/>
        </w:rPr>
        <w:t>of the Rear Wing at</w:t>
      </w:r>
      <w:r>
        <w:rPr>
          <w:sz w:val="22"/>
          <w:szCs w:val="22"/>
        </w:rPr>
        <w:t xml:space="preserve"> first floor </w:t>
      </w:r>
      <w:r w:rsidR="00B304DF">
        <w:rPr>
          <w:sz w:val="22"/>
          <w:szCs w:val="22"/>
        </w:rPr>
        <w:t xml:space="preserve">level </w:t>
      </w:r>
      <w:r>
        <w:rPr>
          <w:sz w:val="22"/>
          <w:szCs w:val="22"/>
        </w:rPr>
        <w:t>is substantially intact;</w:t>
      </w:r>
    </w:p>
    <w:p w14:paraId="639C8AC5" w14:textId="37A535F2" w:rsidR="00237084" w:rsidRDefault="001D7FF4" w:rsidP="000411B7">
      <w:pPr>
        <w:pStyle w:val="BP2"/>
        <w:numPr>
          <w:ilvl w:val="0"/>
          <w:numId w:val="37"/>
        </w:numPr>
        <w:ind w:left="993" w:hanging="426"/>
        <w:rPr>
          <w:sz w:val="22"/>
          <w:szCs w:val="22"/>
        </w:rPr>
      </w:pPr>
      <w:r>
        <w:rPr>
          <w:sz w:val="22"/>
          <w:szCs w:val="22"/>
        </w:rPr>
        <w:t xml:space="preserve">the western elevation is </w:t>
      </w:r>
      <w:r w:rsidR="005C461E">
        <w:rPr>
          <w:sz w:val="22"/>
          <w:szCs w:val="22"/>
        </w:rPr>
        <w:t xml:space="preserve">enclosed and </w:t>
      </w:r>
      <w:r>
        <w:rPr>
          <w:sz w:val="22"/>
          <w:szCs w:val="22"/>
        </w:rPr>
        <w:t xml:space="preserve">concealed from view from the rear laneway </w:t>
      </w:r>
      <w:r w:rsidR="00237084">
        <w:rPr>
          <w:sz w:val="22"/>
          <w:szCs w:val="22"/>
        </w:rPr>
        <w:t>due to the construction of the Addition;</w:t>
      </w:r>
    </w:p>
    <w:p w14:paraId="4974965C" w14:textId="3CB54BA4" w:rsidR="001C0504" w:rsidRDefault="00237084" w:rsidP="000411B7">
      <w:pPr>
        <w:pStyle w:val="BP2"/>
        <w:numPr>
          <w:ilvl w:val="0"/>
          <w:numId w:val="37"/>
        </w:numPr>
        <w:ind w:left="993" w:hanging="426"/>
        <w:rPr>
          <w:sz w:val="22"/>
          <w:szCs w:val="22"/>
        </w:rPr>
      </w:pPr>
      <w:r>
        <w:rPr>
          <w:sz w:val="22"/>
          <w:szCs w:val="22"/>
        </w:rPr>
        <w:t xml:space="preserve">the </w:t>
      </w:r>
      <w:r w:rsidR="001D7FF4">
        <w:rPr>
          <w:sz w:val="22"/>
          <w:szCs w:val="22"/>
        </w:rPr>
        <w:t>only elements of the Rear Wing that are visible from the rear laneway are</w:t>
      </w:r>
      <w:r w:rsidR="001C0504">
        <w:rPr>
          <w:sz w:val="22"/>
          <w:szCs w:val="22"/>
        </w:rPr>
        <w:t xml:space="preserve"> the western end of its northern wall and the top portions of its two chimneys</w:t>
      </w:r>
      <w:r w:rsidR="009516A7">
        <w:rPr>
          <w:sz w:val="22"/>
          <w:szCs w:val="22"/>
        </w:rPr>
        <w:t>; and</w:t>
      </w:r>
    </w:p>
    <w:p w14:paraId="1223A860" w14:textId="459619F2" w:rsidR="009516A7" w:rsidRPr="00344BCC" w:rsidRDefault="00D12D87" w:rsidP="000411B7">
      <w:pPr>
        <w:pStyle w:val="BP2"/>
        <w:numPr>
          <w:ilvl w:val="0"/>
          <w:numId w:val="37"/>
        </w:numPr>
        <w:ind w:left="993" w:hanging="426"/>
        <w:rPr>
          <w:sz w:val="22"/>
          <w:szCs w:val="22"/>
        </w:rPr>
      </w:pPr>
      <w:r>
        <w:rPr>
          <w:sz w:val="22"/>
          <w:szCs w:val="22"/>
        </w:rPr>
        <w:t>there is no physical evidence of historic service uses such as an original kitchen or laundry.</w:t>
      </w:r>
    </w:p>
    <w:p w14:paraId="284D44EE" w14:textId="260BD4C7" w:rsidR="00B15311" w:rsidRDefault="001C0504"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w:t>
      </w:r>
      <w:r w:rsidR="00344BCC">
        <w:rPr>
          <w:sz w:val="22"/>
          <w:szCs w:val="22"/>
        </w:rPr>
        <w:t>disagreed with the Executive Director’s assessment that the Rear Wing can be readily understood as</w:t>
      </w:r>
      <w:r w:rsidR="004959EB">
        <w:rPr>
          <w:sz w:val="22"/>
          <w:szCs w:val="22"/>
        </w:rPr>
        <w:t xml:space="preserve"> </w:t>
      </w:r>
      <w:r w:rsidR="00344BCC">
        <w:rPr>
          <w:sz w:val="22"/>
          <w:szCs w:val="22"/>
        </w:rPr>
        <w:t>a service win</w:t>
      </w:r>
      <w:r w:rsidR="00D12D87">
        <w:rPr>
          <w:sz w:val="22"/>
          <w:szCs w:val="22"/>
        </w:rPr>
        <w:t>g</w:t>
      </w:r>
      <w:r w:rsidR="00041DEB">
        <w:rPr>
          <w:sz w:val="22"/>
          <w:szCs w:val="22"/>
        </w:rPr>
        <w:t xml:space="preserve">, </w:t>
      </w:r>
      <w:r w:rsidR="001708CE">
        <w:rPr>
          <w:sz w:val="22"/>
          <w:szCs w:val="22"/>
        </w:rPr>
        <w:t>not</w:t>
      </w:r>
      <w:r w:rsidR="00041DEB">
        <w:rPr>
          <w:sz w:val="22"/>
          <w:szCs w:val="22"/>
        </w:rPr>
        <w:t>ing</w:t>
      </w:r>
      <w:r w:rsidR="001708CE">
        <w:rPr>
          <w:sz w:val="22"/>
          <w:szCs w:val="22"/>
        </w:rPr>
        <w:t xml:space="preserve"> that it</w:t>
      </w:r>
      <w:r w:rsidR="004959EB">
        <w:rPr>
          <w:sz w:val="22"/>
          <w:szCs w:val="22"/>
        </w:rPr>
        <w:t xml:space="preserve"> contains</w:t>
      </w:r>
      <w:r w:rsidR="00D12D87">
        <w:rPr>
          <w:sz w:val="22"/>
          <w:szCs w:val="22"/>
        </w:rPr>
        <w:t xml:space="preserve"> </w:t>
      </w:r>
      <w:r w:rsidR="004959EB">
        <w:rPr>
          <w:sz w:val="22"/>
          <w:szCs w:val="22"/>
        </w:rPr>
        <w:t xml:space="preserve">no </w:t>
      </w:r>
      <w:r w:rsidR="00D12D87">
        <w:rPr>
          <w:sz w:val="22"/>
          <w:szCs w:val="22"/>
        </w:rPr>
        <w:t xml:space="preserve">physical evidence of historic service provision </w:t>
      </w:r>
      <w:r w:rsidR="004959EB">
        <w:rPr>
          <w:sz w:val="22"/>
          <w:szCs w:val="22"/>
        </w:rPr>
        <w:t>nor any</w:t>
      </w:r>
      <w:r w:rsidR="00D12D87">
        <w:rPr>
          <w:sz w:val="22"/>
          <w:szCs w:val="22"/>
        </w:rPr>
        <w:t xml:space="preserve"> secondary or servant stair</w:t>
      </w:r>
      <w:r w:rsidR="003C412D">
        <w:rPr>
          <w:sz w:val="22"/>
          <w:szCs w:val="22"/>
        </w:rPr>
        <w:t>.</w:t>
      </w:r>
      <w:r w:rsidR="00190BC2">
        <w:rPr>
          <w:sz w:val="22"/>
          <w:szCs w:val="22"/>
        </w:rPr>
        <w:t xml:space="preserve"> </w:t>
      </w:r>
      <w:proofErr w:type="spellStart"/>
      <w:r w:rsidR="00190BC2">
        <w:rPr>
          <w:sz w:val="22"/>
          <w:szCs w:val="22"/>
        </w:rPr>
        <w:t>Mr</w:t>
      </w:r>
      <w:proofErr w:type="spellEnd"/>
      <w:r w:rsidR="00190BC2">
        <w:rPr>
          <w:sz w:val="22"/>
          <w:szCs w:val="22"/>
        </w:rPr>
        <w:t xml:space="preserve"> </w:t>
      </w:r>
      <w:proofErr w:type="spellStart"/>
      <w:r w:rsidR="00190BC2">
        <w:rPr>
          <w:sz w:val="22"/>
          <w:szCs w:val="22"/>
        </w:rPr>
        <w:t>Rawo</w:t>
      </w:r>
      <w:r w:rsidR="009A74F7">
        <w:rPr>
          <w:sz w:val="22"/>
          <w:szCs w:val="22"/>
        </w:rPr>
        <w:t>r</w:t>
      </w:r>
      <w:r w:rsidR="00190BC2">
        <w:rPr>
          <w:sz w:val="22"/>
          <w:szCs w:val="22"/>
        </w:rPr>
        <w:t>th</w:t>
      </w:r>
      <w:proofErr w:type="spellEnd"/>
      <w:r w:rsidR="00190BC2">
        <w:rPr>
          <w:sz w:val="22"/>
          <w:szCs w:val="22"/>
        </w:rPr>
        <w:t xml:space="preserve"> also disagreed with the Executive Director’s contention that </w:t>
      </w:r>
      <w:r w:rsidR="009A74F7">
        <w:rPr>
          <w:sz w:val="22"/>
          <w:szCs w:val="22"/>
        </w:rPr>
        <w:t xml:space="preserve">it is necessary to </w:t>
      </w:r>
      <w:r w:rsidR="009A45C2">
        <w:rPr>
          <w:sz w:val="22"/>
          <w:szCs w:val="22"/>
        </w:rPr>
        <w:t>keep t</w:t>
      </w:r>
      <w:r w:rsidR="00190BC2">
        <w:rPr>
          <w:sz w:val="22"/>
          <w:szCs w:val="22"/>
        </w:rPr>
        <w:t xml:space="preserve">he Rear Wing </w:t>
      </w:r>
      <w:r w:rsidR="009A45C2">
        <w:rPr>
          <w:sz w:val="22"/>
          <w:szCs w:val="22"/>
        </w:rPr>
        <w:t>in its entirety</w:t>
      </w:r>
      <w:r w:rsidR="009A74F7">
        <w:rPr>
          <w:sz w:val="22"/>
          <w:szCs w:val="22"/>
        </w:rPr>
        <w:t xml:space="preserve"> </w:t>
      </w:r>
      <w:proofErr w:type="gramStart"/>
      <w:r w:rsidR="009A74F7">
        <w:rPr>
          <w:sz w:val="22"/>
          <w:szCs w:val="22"/>
        </w:rPr>
        <w:t xml:space="preserve">in order </w:t>
      </w:r>
      <w:r w:rsidR="009A45C2">
        <w:rPr>
          <w:sz w:val="22"/>
          <w:szCs w:val="22"/>
        </w:rPr>
        <w:t>to</w:t>
      </w:r>
      <w:proofErr w:type="gramEnd"/>
      <w:r w:rsidR="009A45C2">
        <w:rPr>
          <w:sz w:val="22"/>
          <w:szCs w:val="22"/>
        </w:rPr>
        <w:t xml:space="preserve"> understand the </w:t>
      </w:r>
      <w:r w:rsidR="00190BC2">
        <w:rPr>
          <w:sz w:val="22"/>
          <w:szCs w:val="22"/>
        </w:rPr>
        <w:t xml:space="preserve">scale and form of the </w:t>
      </w:r>
      <w:r w:rsidR="009A45C2">
        <w:rPr>
          <w:sz w:val="22"/>
          <w:szCs w:val="22"/>
        </w:rPr>
        <w:t>Rear Wing, or the proportions of the Place overall.</w:t>
      </w:r>
    </w:p>
    <w:p w14:paraId="35465687" w14:textId="293B4EBA" w:rsidR="00985872" w:rsidRDefault="00041DEB" w:rsidP="000411B7">
      <w:pPr>
        <w:pStyle w:val="BP2"/>
        <w:numPr>
          <w:ilvl w:val="0"/>
          <w:numId w:val="3"/>
        </w:numPr>
        <w:tabs>
          <w:tab w:val="clear" w:pos="432"/>
          <w:tab w:val="left" w:pos="709"/>
        </w:tabs>
        <w:ind w:left="567" w:hanging="567"/>
        <w:rPr>
          <w:sz w:val="22"/>
          <w:szCs w:val="22"/>
        </w:rPr>
      </w:pPr>
      <w:proofErr w:type="spellStart"/>
      <w:r>
        <w:rPr>
          <w:sz w:val="22"/>
          <w:szCs w:val="22"/>
        </w:rPr>
        <w:t>Ms</w:t>
      </w:r>
      <w:proofErr w:type="spellEnd"/>
      <w:r>
        <w:rPr>
          <w:sz w:val="22"/>
          <w:szCs w:val="22"/>
        </w:rPr>
        <w:t xml:space="preserve"> Gray</w:t>
      </w:r>
      <w:r w:rsidR="00BA1D5B">
        <w:rPr>
          <w:sz w:val="22"/>
          <w:szCs w:val="22"/>
        </w:rPr>
        <w:t xml:space="preserve"> expressed similar views to those of </w:t>
      </w:r>
      <w:proofErr w:type="spellStart"/>
      <w:r w:rsidR="00BA1D5B">
        <w:rPr>
          <w:sz w:val="22"/>
          <w:szCs w:val="22"/>
        </w:rPr>
        <w:t>Mr</w:t>
      </w:r>
      <w:proofErr w:type="spellEnd"/>
      <w:r w:rsidR="00BA1D5B">
        <w:rPr>
          <w:sz w:val="22"/>
          <w:szCs w:val="22"/>
        </w:rPr>
        <w:t xml:space="preserve"> </w:t>
      </w:r>
      <w:proofErr w:type="spellStart"/>
      <w:r w:rsidR="00BA1D5B">
        <w:rPr>
          <w:sz w:val="22"/>
          <w:szCs w:val="22"/>
        </w:rPr>
        <w:t>Raworth</w:t>
      </w:r>
      <w:proofErr w:type="spellEnd"/>
      <w:r w:rsidR="00BA1D5B">
        <w:rPr>
          <w:sz w:val="22"/>
          <w:szCs w:val="22"/>
        </w:rPr>
        <w:t xml:space="preserve">. In </w:t>
      </w:r>
      <w:proofErr w:type="spellStart"/>
      <w:r w:rsidR="00BA1D5B">
        <w:rPr>
          <w:sz w:val="22"/>
          <w:szCs w:val="22"/>
        </w:rPr>
        <w:t>Ms</w:t>
      </w:r>
      <w:proofErr w:type="spellEnd"/>
      <w:r w:rsidR="00BA1D5B">
        <w:rPr>
          <w:sz w:val="22"/>
          <w:szCs w:val="22"/>
        </w:rPr>
        <w:t xml:space="preserve"> Gray’s opinion, the </w:t>
      </w:r>
      <w:r w:rsidR="00985872">
        <w:rPr>
          <w:sz w:val="22"/>
          <w:szCs w:val="22"/>
        </w:rPr>
        <w:t xml:space="preserve">significance of the </w:t>
      </w:r>
      <w:r w:rsidR="00BA1D5B">
        <w:rPr>
          <w:sz w:val="22"/>
          <w:szCs w:val="22"/>
        </w:rPr>
        <w:t xml:space="preserve">Place </w:t>
      </w:r>
      <w:r w:rsidR="00985872">
        <w:rPr>
          <w:sz w:val="22"/>
          <w:szCs w:val="22"/>
        </w:rPr>
        <w:t>relates primarily to its</w:t>
      </w:r>
      <w:r w:rsidR="00BA1D5B">
        <w:rPr>
          <w:sz w:val="22"/>
          <w:szCs w:val="22"/>
        </w:rPr>
        <w:t xml:space="preserve"> architectural </w:t>
      </w:r>
      <w:r w:rsidR="00985872">
        <w:rPr>
          <w:sz w:val="22"/>
          <w:szCs w:val="22"/>
        </w:rPr>
        <w:t xml:space="preserve">treatment (as related to its façade design) and to its imposing scale as a boom-era </w:t>
      </w:r>
      <w:r w:rsidR="00B304DF">
        <w:rPr>
          <w:sz w:val="22"/>
          <w:szCs w:val="22"/>
        </w:rPr>
        <w:t xml:space="preserve">Victorian </w:t>
      </w:r>
      <w:r w:rsidR="00985872">
        <w:rPr>
          <w:sz w:val="22"/>
          <w:szCs w:val="22"/>
        </w:rPr>
        <w:t xml:space="preserve">terrace house. According to </w:t>
      </w:r>
      <w:proofErr w:type="spellStart"/>
      <w:r w:rsidR="00985872">
        <w:rPr>
          <w:sz w:val="22"/>
          <w:szCs w:val="22"/>
        </w:rPr>
        <w:t>Ms</w:t>
      </w:r>
      <w:proofErr w:type="spellEnd"/>
      <w:r w:rsidR="00985872">
        <w:rPr>
          <w:sz w:val="22"/>
          <w:szCs w:val="22"/>
        </w:rPr>
        <w:t xml:space="preserve"> Gray, </w:t>
      </w:r>
      <w:r w:rsidR="009A74F7">
        <w:rPr>
          <w:sz w:val="22"/>
          <w:szCs w:val="22"/>
        </w:rPr>
        <w:t>the</w:t>
      </w:r>
      <w:r w:rsidR="00BA1D5B">
        <w:rPr>
          <w:sz w:val="22"/>
          <w:szCs w:val="22"/>
        </w:rPr>
        <w:t xml:space="preserve"> significance </w:t>
      </w:r>
      <w:r w:rsidR="009A74F7">
        <w:rPr>
          <w:sz w:val="22"/>
          <w:szCs w:val="22"/>
        </w:rPr>
        <w:t xml:space="preserve">of the Place </w:t>
      </w:r>
      <w:r w:rsidR="00BA1D5B">
        <w:rPr>
          <w:sz w:val="22"/>
          <w:szCs w:val="22"/>
        </w:rPr>
        <w:t xml:space="preserve">does not rely on its completeness </w:t>
      </w:r>
      <w:r w:rsidR="00B304DF">
        <w:rPr>
          <w:sz w:val="22"/>
          <w:szCs w:val="22"/>
        </w:rPr>
        <w:t xml:space="preserve">or intactness </w:t>
      </w:r>
      <w:r w:rsidR="00BA1D5B">
        <w:rPr>
          <w:sz w:val="22"/>
          <w:szCs w:val="22"/>
        </w:rPr>
        <w:t>as a nineteenth century house.</w:t>
      </w:r>
    </w:p>
    <w:p w14:paraId="00E3C3E6" w14:textId="41F39E96" w:rsidR="00F23A9A" w:rsidRDefault="00985872" w:rsidP="000411B7">
      <w:pPr>
        <w:pStyle w:val="BP2"/>
        <w:numPr>
          <w:ilvl w:val="0"/>
          <w:numId w:val="3"/>
        </w:numPr>
        <w:tabs>
          <w:tab w:val="clear" w:pos="432"/>
          <w:tab w:val="left" w:pos="709"/>
        </w:tabs>
        <w:ind w:left="567" w:hanging="567"/>
        <w:rPr>
          <w:sz w:val="22"/>
          <w:szCs w:val="22"/>
        </w:rPr>
      </w:pPr>
      <w:proofErr w:type="spellStart"/>
      <w:r w:rsidRPr="00985872">
        <w:rPr>
          <w:sz w:val="22"/>
          <w:szCs w:val="22"/>
        </w:rPr>
        <w:t>Ms</w:t>
      </w:r>
      <w:proofErr w:type="spellEnd"/>
      <w:r w:rsidRPr="00985872">
        <w:rPr>
          <w:sz w:val="22"/>
          <w:szCs w:val="22"/>
        </w:rPr>
        <w:t xml:space="preserve"> Gray observed that Victorian terrace houses typically included service wings and accommodation for servants and </w:t>
      </w:r>
      <w:r w:rsidR="00F23A9A">
        <w:rPr>
          <w:sz w:val="22"/>
          <w:szCs w:val="22"/>
        </w:rPr>
        <w:t>the significance of these wings</w:t>
      </w:r>
      <w:r>
        <w:rPr>
          <w:sz w:val="22"/>
          <w:szCs w:val="22"/>
        </w:rPr>
        <w:t xml:space="preserve"> to a </w:t>
      </w:r>
      <w:r w:rsidR="00F23A9A">
        <w:rPr>
          <w:sz w:val="22"/>
          <w:szCs w:val="22"/>
        </w:rPr>
        <w:t xml:space="preserve">heritage </w:t>
      </w:r>
      <w:r>
        <w:rPr>
          <w:sz w:val="22"/>
          <w:szCs w:val="22"/>
        </w:rPr>
        <w:t xml:space="preserve">building or precinct can vary. </w:t>
      </w:r>
      <w:r w:rsidR="006254A6">
        <w:rPr>
          <w:sz w:val="22"/>
          <w:szCs w:val="22"/>
        </w:rPr>
        <w:t>She</w:t>
      </w:r>
      <w:r w:rsidR="00F23A9A">
        <w:rPr>
          <w:sz w:val="22"/>
          <w:szCs w:val="22"/>
        </w:rPr>
        <w:t xml:space="preserve"> did not consider the</w:t>
      </w:r>
      <w:r>
        <w:rPr>
          <w:sz w:val="22"/>
          <w:szCs w:val="22"/>
        </w:rPr>
        <w:t xml:space="preserve"> Rear Wing </w:t>
      </w:r>
      <w:r w:rsidR="00F23A9A">
        <w:rPr>
          <w:sz w:val="22"/>
          <w:szCs w:val="22"/>
        </w:rPr>
        <w:t xml:space="preserve">to be a strong contributory element to the significance of the Place </w:t>
      </w:r>
      <w:r w:rsidR="00C73630">
        <w:rPr>
          <w:sz w:val="22"/>
          <w:szCs w:val="22"/>
        </w:rPr>
        <w:t>as it has been extensively altered</w:t>
      </w:r>
      <w:r w:rsidR="00F23A9A">
        <w:rPr>
          <w:sz w:val="22"/>
          <w:szCs w:val="22"/>
        </w:rPr>
        <w:t xml:space="preserve"> and is at the rear of the Subject Site.</w:t>
      </w:r>
    </w:p>
    <w:p w14:paraId="1FE192FB" w14:textId="50B21831" w:rsidR="00041DEB" w:rsidRDefault="00C73630" w:rsidP="000411B7">
      <w:pPr>
        <w:pStyle w:val="BP2"/>
        <w:numPr>
          <w:ilvl w:val="0"/>
          <w:numId w:val="3"/>
        </w:numPr>
        <w:tabs>
          <w:tab w:val="clear" w:pos="432"/>
          <w:tab w:val="left" w:pos="709"/>
        </w:tabs>
        <w:ind w:left="567" w:hanging="567"/>
        <w:rPr>
          <w:sz w:val="22"/>
          <w:szCs w:val="22"/>
        </w:rPr>
      </w:pPr>
      <w:proofErr w:type="spellStart"/>
      <w:r>
        <w:rPr>
          <w:sz w:val="22"/>
          <w:szCs w:val="22"/>
        </w:rPr>
        <w:t>Ms</w:t>
      </w:r>
      <w:proofErr w:type="spellEnd"/>
      <w:r>
        <w:rPr>
          <w:sz w:val="22"/>
          <w:szCs w:val="22"/>
        </w:rPr>
        <w:t xml:space="preserve"> Gray was satisfied that the retention of the eastern half of the Rear Wing </w:t>
      </w:r>
      <w:r w:rsidR="00F23A9A">
        <w:rPr>
          <w:sz w:val="22"/>
          <w:szCs w:val="22"/>
        </w:rPr>
        <w:t>would</w:t>
      </w:r>
      <w:r>
        <w:rPr>
          <w:sz w:val="22"/>
          <w:szCs w:val="22"/>
        </w:rPr>
        <w:t xml:space="preserve"> enable </w:t>
      </w:r>
      <w:r w:rsidR="0053309A">
        <w:rPr>
          <w:sz w:val="22"/>
          <w:szCs w:val="22"/>
        </w:rPr>
        <w:t>the</w:t>
      </w:r>
      <w:r>
        <w:rPr>
          <w:sz w:val="22"/>
          <w:szCs w:val="22"/>
        </w:rPr>
        <w:t xml:space="preserve"> three</w:t>
      </w:r>
      <w:r w:rsidR="0053309A">
        <w:rPr>
          <w:sz w:val="22"/>
          <w:szCs w:val="22"/>
        </w:rPr>
        <w:t>-</w:t>
      </w:r>
      <w:r>
        <w:rPr>
          <w:sz w:val="22"/>
          <w:szCs w:val="22"/>
        </w:rPr>
        <w:t xml:space="preserve">dimensional form and relationship </w:t>
      </w:r>
      <w:r w:rsidR="0053309A">
        <w:rPr>
          <w:sz w:val="22"/>
          <w:szCs w:val="22"/>
        </w:rPr>
        <w:t xml:space="preserve">of the Rear Wing as a service wing </w:t>
      </w:r>
      <w:r>
        <w:rPr>
          <w:sz w:val="22"/>
          <w:szCs w:val="22"/>
        </w:rPr>
        <w:t>to the Main House to be understood.</w:t>
      </w:r>
      <w:r w:rsidRPr="00F23A9A">
        <w:rPr>
          <w:sz w:val="22"/>
          <w:szCs w:val="22"/>
        </w:rPr>
        <w:t xml:space="preserve"> </w:t>
      </w:r>
      <w:r w:rsidR="006254A6">
        <w:rPr>
          <w:sz w:val="22"/>
          <w:szCs w:val="22"/>
        </w:rPr>
        <w:t>In her</w:t>
      </w:r>
      <w:r w:rsidR="00B304DF">
        <w:rPr>
          <w:sz w:val="22"/>
          <w:szCs w:val="22"/>
        </w:rPr>
        <w:t xml:space="preserve"> view</w:t>
      </w:r>
      <w:r w:rsidR="006254A6">
        <w:rPr>
          <w:sz w:val="22"/>
          <w:szCs w:val="22"/>
        </w:rPr>
        <w:t xml:space="preserve">, </w:t>
      </w:r>
      <w:r w:rsidR="00B304DF">
        <w:rPr>
          <w:sz w:val="22"/>
          <w:szCs w:val="22"/>
        </w:rPr>
        <w:t xml:space="preserve">the demolition of the western half of the Rear Wing </w:t>
      </w:r>
      <w:r w:rsidR="0053309A">
        <w:rPr>
          <w:sz w:val="22"/>
          <w:szCs w:val="22"/>
        </w:rPr>
        <w:t>would be</w:t>
      </w:r>
      <w:r w:rsidR="00B304DF">
        <w:rPr>
          <w:sz w:val="22"/>
          <w:szCs w:val="22"/>
        </w:rPr>
        <w:t xml:space="preserve"> </w:t>
      </w:r>
      <w:r w:rsidR="0053309A">
        <w:rPr>
          <w:sz w:val="22"/>
          <w:szCs w:val="22"/>
        </w:rPr>
        <w:t xml:space="preserve">an </w:t>
      </w:r>
      <w:r w:rsidR="00B304DF">
        <w:rPr>
          <w:sz w:val="22"/>
          <w:szCs w:val="22"/>
        </w:rPr>
        <w:t>acceptable</w:t>
      </w:r>
      <w:r w:rsidR="0053309A">
        <w:rPr>
          <w:sz w:val="22"/>
          <w:szCs w:val="22"/>
        </w:rPr>
        <w:t xml:space="preserve"> heritage outcome.</w:t>
      </w:r>
    </w:p>
    <w:p w14:paraId="30035415" w14:textId="6DFE2218" w:rsidR="00B304DF" w:rsidRPr="00844234" w:rsidRDefault="00B304DF" w:rsidP="00F37284">
      <w:pPr>
        <w:pStyle w:val="BP2"/>
        <w:keepNext/>
        <w:spacing w:before="240" w:after="240"/>
        <w:jc w:val="both"/>
        <w:rPr>
          <w:bCs/>
          <w:i/>
          <w:spacing w:val="-1"/>
          <w:sz w:val="22"/>
          <w:szCs w:val="22"/>
        </w:rPr>
      </w:pPr>
      <w:r w:rsidRPr="00844234">
        <w:rPr>
          <w:bCs/>
          <w:i/>
          <w:spacing w:val="-1"/>
          <w:sz w:val="22"/>
          <w:szCs w:val="22"/>
        </w:rPr>
        <w:t>Discussion and conclusion</w:t>
      </w:r>
    </w:p>
    <w:p w14:paraId="3127A4C7" w14:textId="7E6E2C08" w:rsidR="00B304DF" w:rsidRDefault="00B304DF" w:rsidP="000411B7">
      <w:pPr>
        <w:pStyle w:val="BP2"/>
        <w:numPr>
          <w:ilvl w:val="0"/>
          <w:numId w:val="3"/>
        </w:numPr>
        <w:tabs>
          <w:tab w:val="clear" w:pos="432"/>
          <w:tab w:val="left" w:pos="709"/>
        </w:tabs>
        <w:ind w:left="567" w:hanging="567"/>
        <w:rPr>
          <w:sz w:val="22"/>
          <w:szCs w:val="22"/>
        </w:rPr>
      </w:pPr>
      <w:r>
        <w:rPr>
          <w:sz w:val="22"/>
          <w:szCs w:val="22"/>
        </w:rPr>
        <w:t xml:space="preserve">In the Committee’s view, the </w:t>
      </w:r>
      <w:r w:rsidR="00E07D1C">
        <w:rPr>
          <w:sz w:val="22"/>
          <w:szCs w:val="22"/>
        </w:rPr>
        <w:t xml:space="preserve">heritage </w:t>
      </w:r>
      <w:r>
        <w:rPr>
          <w:sz w:val="22"/>
          <w:szCs w:val="22"/>
        </w:rPr>
        <w:t xml:space="preserve">impact of the </w:t>
      </w:r>
      <w:r w:rsidR="0053309A">
        <w:rPr>
          <w:sz w:val="22"/>
          <w:szCs w:val="22"/>
        </w:rPr>
        <w:t xml:space="preserve">proposed demolition works </w:t>
      </w:r>
      <w:r w:rsidR="00E07D1C">
        <w:rPr>
          <w:sz w:val="22"/>
          <w:szCs w:val="22"/>
        </w:rPr>
        <w:t xml:space="preserve">must be assessed having regard to the current </w:t>
      </w:r>
      <w:r w:rsidR="00926364">
        <w:rPr>
          <w:sz w:val="22"/>
          <w:szCs w:val="22"/>
        </w:rPr>
        <w:t>condition</w:t>
      </w:r>
      <w:r w:rsidR="00E07D1C">
        <w:rPr>
          <w:sz w:val="22"/>
          <w:szCs w:val="22"/>
        </w:rPr>
        <w:t xml:space="preserve"> of the Place, including </w:t>
      </w:r>
      <w:r w:rsidR="0053309A">
        <w:rPr>
          <w:sz w:val="22"/>
          <w:szCs w:val="22"/>
        </w:rPr>
        <w:t xml:space="preserve">the </w:t>
      </w:r>
      <w:r w:rsidR="00E07D1C">
        <w:rPr>
          <w:sz w:val="22"/>
          <w:szCs w:val="22"/>
        </w:rPr>
        <w:t xml:space="preserve">alterations </w:t>
      </w:r>
      <w:r w:rsidR="0053309A">
        <w:rPr>
          <w:sz w:val="22"/>
          <w:szCs w:val="22"/>
        </w:rPr>
        <w:t xml:space="preserve">and additions </w:t>
      </w:r>
      <w:r w:rsidR="00E07D1C">
        <w:rPr>
          <w:sz w:val="22"/>
          <w:szCs w:val="22"/>
        </w:rPr>
        <w:t xml:space="preserve">that have </w:t>
      </w:r>
      <w:r w:rsidR="0053309A">
        <w:rPr>
          <w:sz w:val="22"/>
          <w:szCs w:val="22"/>
        </w:rPr>
        <w:t>occurred over the last two decades.</w:t>
      </w:r>
    </w:p>
    <w:p w14:paraId="617FD346" w14:textId="52F346C9" w:rsidR="00E07D1C" w:rsidRDefault="00E07D1C" w:rsidP="000411B7">
      <w:pPr>
        <w:pStyle w:val="BP2"/>
        <w:numPr>
          <w:ilvl w:val="0"/>
          <w:numId w:val="3"/>
        </w:numPr>
        <w:tabs>
          <w:tab w:val="clear" w:pos="432"/>
          <w:tab w:val="left" w:pos="709"/>
        </w:tabs>
        <w:ind w:left="567" w:hanging="567"/>
        <w:rPr>
          <w:sz w:val="22"/>
          <w:szCs w:val="22"/>
        </w:rPr>
      </w:pPr>
      <w:r>
        <w:rPr>
          <w:sz w:val="22"/>
          <w:szCs w:val="22"/>
        </w:rPr>
        <w:t xml:space="preserve">After considering all submissions and inspecting the Subject Site, the Committee agrees with the position of the Permit Applicant, as informed by its expert witnesses, that the demolition of the western </w:t>
      </w:r>
      <w:r w:rsidR="00E00F2B">
        <w:rPr>
          <w:sz w:val="22"/>
          <w:szCs w:val="22"/>
        </w:rPr>
        <w:t xml:space="preserve">portion </w:t>
      </w:r>
      <w:r>
        <w:rPr>
          <w:sz w:val="22"/>
          <w:szCs w:val="22"/>
        </w:rPr>
        <w:t>of the Rear Wing will not have a</w:t>
      </w:r>
      <w:r w:rsidR="00B07AE2">
        <w:rPr>
          <w:sz w:val="22"/>
          <w:szCs w:val="22"/>
        </w:rPr>
        <w:t>n unacceptable</w:t>
      </w:r>
      <w:r>
        <w:rPr>
          <w:sz w:val="22"/>
          <w:szCs w:val="22"/>
        </w:rPr>
        <w:t xml:space="preserve"> impact on the cultural heritage significance of the Place.</w:t>
      </w:r>
      <w:r w:rsidR="00B07AE2">
        <w:rPr>
          <w:sz w:val="22"/>
          <w:szCs w:val="22"/>
        </w:rPr>
        <w:t xml:space="preserve"> </w:t>
      </w:r>
    </w:p>
    <w:p w14:paraId="514067E4" w14:textId="6AC6711C" w:rsidR="00D14910" w:rsidRPr="007747B2" w:rsidRDefault="00D14910" w:rsidP="000411B7">
      <w:pPr>
        <w:pStyle w:val="BP2"/>
        <w:numPr>
          <w:ilvl w:val="0"/>
          <w:numId w:val="3"/>
        </w:numPr>
        <w:tabs>
          <w:tab w:val="clear" w:pos="432"/>
          <w:tab w:val="left" w:pos="709"/>
        </w:tabs>
        <w:ind w:left="567" w:hanging="567"/>
        <w:rPr>
          <w:sz w:val="22"/>
          <w:szCs w:val="22"/>
        </w:rPr>
      </w:pPr>
      <w:r>
        <w:rPr>
          <w:sz w:val="22"/>
          <w:szCs w:val="22"/>
        </w:rPr>
        <w:lastRenderedPageBreak/>
        <w:t xml:space="preserve">The Committee </w:t>
      </w:r>
      <w:r w:rsidR="006A2A65">
        <w:rPr>
          <w:sz w:val="22"/>
          <w:szCs w:val="22"/>
        </w:rPr>
        <w:t>a</w:t>
      </w:r>
      <w:r w:rsidR="009A74F7">
        <w:rPr>
          <w:sz w:val="22"/>
          <w:szCs w:val="22"/>
        </w:rPr>
        <w:t>grees with</w:t>
      </w:r>
      <w:r>
        <w:rPr>
          <w:sz w:val="22"/>
          <w:szCs w:val="22"/>
        </w:rPr>
        <w:t xml:space="preserve"> the evidence of </w:t>
      </w: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that t</w:t>
      </w:r>
      <w:r w:rsidR="00487A85">
        <w:rPr>
          <w:sz w:val="22"/>
          <w:szCs w:val="22"/>
        </w:rPr>
        <w:t xml:space="preserve">he </w:t>
      </w:r>
      <w:r w:rsidR="0053309A">
        <w:rPr>
          <w:sz w:val="22"/>
          <w:szCs w:val="22"/>
        </w:rPr>
        <w:t xml:space="preserve">Rear Wing has been </w:t>
      </w:r>
      <w:r w:rsidR="00487A85">
        <w:rPr>
          <w:sz w:val="22"/>
          <w:szCs w:val="22"/>
        </w:rPr>
        <w:t xml:space="preserve">significantly </w:t>
      </w:r>
      <w:r w:rsidR="0053309A">
        <w:rPr>
          <w:sz w:val="22"/>
          <w:szCs w:val="22"/>
        </w:rPr>
        <w:t>altered internally and externally</w:t>
      </w:r>
      <w:r w:rsidR="00487A85">
        <w:rPr>
          <w:sz w:val="22"/>
          <w:szCs w:val="22"/>
        </w:rPr>
        <w:t xml:space="preserve">. </w:t>
      </w:r>
      <w:r w:rsidR="002E2CBC">
        <w:rPr>
          <w:sz w:val="22"/>
          <w:szCs w:val="22"/>
        </w:rPr>
        <w:t>Externally, its</w:t>
      </w:r>
      <w:r w:rsidR="00487A85">
        <w:rPr>
          <w:sz w:val="22"/>
          <w:szCs w:val="22"/>
        </w:rPr>
        <w:t xml:space="preserve"> western </w:t>
      </w:r>
      <w:r w:rsidR="002E2CBC">
        <w:rPr>
          <w:sz w:val="22"/>
          <w:szCs w:val="22"/>
        </w:rPr>
        <w:t>elevation</w:t>
      </w:r>
      <w:r w:rsidR="007414E0">
        <w:rPr>
          <w:sz w:val="22"/>
          <w:szCs w:val="22"/>
        </w:rPr>
        <w:t xml:space="preserve"> is</w:t>
      </w:r>
      <w:r w:rsidR="00487A85">
        <w:rPr>
          <w:sz w:val="22"/>
          <w:szCs w:val="22"/>
        </w:rPr>
        <w:t xml:space="preserve"> </w:t>
      </w:r>
      <w:r w:rsidR="007414E0">
        <w:rPr>
          <w:sz w:val="22"/>
          <w:szCs w:val="22"/>
        </w:rPr>
        <w:t>concealed from view and</w:t>
      </w:r>
      <w:r w:rsidR="002E2CBC">
        <w:rPr>
          <w:sz w:val="22"/>
          <w:szCs w:val="22"/>
        </w:rPr>
        <w:t xml:space="preserve"> its</w:t>
      </w:r>
      <w:r w:rsidR="007414E0">
        <w:rPr>
          <w:sz w:val="22"/>
          <w:szCs w:val="22"/>
        </w:rPr>
        <w:t xml:space="preserve"> </w:t>
      </w:r>
      <w:r w:rsidR="00487A85">
        <w:rPr>
          <w:sz w:val="22"/>
          <w:szCs w:val="22"/>
        </w:rPr>
        <w:t>south</w:t>
      </w:r>
      <w:r w:rsidR="002E2CBC">
        <w:rPr>
          <w:sz w:val="22"/>
          <w:szCs w:val="22"/>
        </w:rPr>
        <w:t>ern</w:t>
      </w:r>
      <w:r w:rsidR="00487A85">
        <w:rPr>
          <w:sz w:val="22"/>
          <w:szCs w:val="22"/>
        </w:rPr>
        <w:t xml:space="preserve"> elevation </w:t>
      </w:r>
      <w:r w:rsidR="007414E0">
        <w:rPr>
          <w:sz w:val="22"/>
          <w:szCs w:val="22"/>
        </w:rPr>
        <w:t xml:space="preserve">at ground floor level </w:t>
      </w:r>
      <w:r w:rsidR="002E2CBC">
        <w:rPr>
          <w:sz w:val="22"/>
          <w:szCs w:val="22"/>
        </w:rPr>
        <w:t>has been substantial</w:t>
      </w:r>
      <w:r w:rsidR="00B07AE2">
        <w:rPr>
          <w:sz w:val="22"/>
          <w:szCs w:val="22"/>
        </w:rPr>
        <w:t>ly</w:t>
      </w:r>
      <w:r w:rsidR="002E2CBC">
        <w:rPr>
          <w:sz w:val="22"/>
          <w:szCs w:val="22"/>
        </w:rPr>
        <w:t xml:space="preserve"> modified and subsumed into an internal building space</w:t>
      </w:r>
      <w:r w:rsidR="00487A85">
        <w:rPr>
          <w:sz w:val="22"/>
          <w:szCs w:val="22"/>
        </w:rPr>
        <w:t xml:space="preserve">. Internally, the </w:t>
      </w:r>
      <w:r w:rsidR="007747B2">
        <w:rPr>
          <w:sz w:val="22"/>
          <w:szCs w:val="22"/>
        </w:rPr>
        <w:t xml:space="preserve">Rear Wing at </w:t>
      </w:r>
      <w:r w:rsidR="00487A85">
        <w:rPr>
          <w:sz w:val="22"/>
          <w:szCs w:val="22"/>
        </w:rPr>
        <w:t xml:space="preserve">ground floor level has been substantially modified </w:t>
      </w:r>
      <w:r>
        <w:rPr>
          <w:sz w:val="22"/>
          <w:szCs w:val="22"/>
        </w:rPr>
        <w:t>and refurbished</w:t>
      </w:r>
      <w:r w:rsidR="003B1CEC">
        <w:rPr>
          <w:sz w:val="22"/>
          <w:szCs w:val="22"/>
        </w:rPr>
        <w:t xml:space="preserve"> such that there is little original fabric remaining.</w:t>
      </w:r>
      <w:r w:rsidR="007747B2">
        <w:rPr>
          <w:sz w:val="22"/>
          <w:szCs w:val="22"/>
        </w:rPr>
        <w:t xml:space="preserve"> </w:t>
      </w:r>
      <w:r w:rsidRPr="007747B2">
        <w:rPr>
          <w:sz w:val="22"/>
          <w:szCs w:val="22"/>
        </w:rPr>
        <w:t xml:space="preserve">In the Committee’s view, the Addition </w:t>
      </w:r>
      <w:r w:rsidR="00926364" w:rsidRPr="007747B2">
        <w:rPr>
          <w:sz w:val="22"/>
          <w:szCs w:val="22"/>
        </w:rPr>
        <w:t xml:space="preserve">and other alterations to the Place </w:t>
      </w:r>
      <w:r w:rsidR="003B1CEC" w:rsidRPr="007747B2">
        <w:rPr>
          <w:sz w:val="22"/>
          <w:szCs w:val="22"/>
        </w:rPr>
        <w:t>ha</w:t>
      </w:r>
      <w:r w:rsidR="00926364" w:rsidRPr="007747B2">
        <w:rPr>
          <w:sz w:val="22"/>
          <w:szCs w:val="22"/>
        </w:rPr>
        <w:t>ve</w:t>
      </w:r>
      <w:r w:rsidR="003B1CEC" w:rsidRPr="007747B2">
        <w:rPr>
          <w:sz w:val="22"/>
          <w:szCs w:val="22"/>
        </w:rPr>
        <w:t xml:space="preserve"> </w:t>
      </w:r>
      <w:r w:rsidR="00FD57DC" w:rsidRPr="007747B2">
        <w:rPr>
          <w:sz w:val="22"/>
          <w:szCs w:val="22"/>
        </w:rPr>
        <w:t xml:space="preserve">so significantly altered the </w:t>
      </w:r>
      <w:r w:rsidR="00CF2176" w:rsidRPr="007747B2">
        <w:rPr>
          <w:sz w:val="22"/>
          <w:szCs w:val="22"/>
        </w:rPr>
        <w:t xml:space="preserve">setting, external </w:t>
      </w:r>
      <w:r w:rsidR="00FD57DC" w:rsidRPr="007747B2">
        <w:rPr>
          <w:sz w:val="22"/>
          <w:szCs w:val="22"/>
        </w:rPr>
        <w:t>appearance</w:t>
      </w:r>
      <w:r w:rsidR="00CF2176" w:rsidRPr="007747B2">
        <w:rPr>
          <w:sz w:val="22"/>
          <w:szCs w:val="22"/>
        </w:rPr>
        <w:t xml:space="preserve"> and internal</w:t>
      </w:r>
      <w:r w:rsidR="00FD57DC" w:rsidRPr="007747B2">
        <w:rPr>
          <w:sz w:val="22"/>
          <w:szCs w:val="22"/>
        </w:rPr>
        <w:t xml:space="preserve"> layout of the Rear Wing that it is difficult to appreciate its original form</w:t>
      </w:r>
      <w:r w:rsidR="007414E0" w:rsidRPr="007747B2">
        <w:rPr>
          <w:sz w:val="22"/>
          <w:szCs w:val="22"/>
        </w:rPr>
        <w:t xml:space="preserve">, </w:t>
      </w:r>
      <w:r w:rsidR="00CF2176" w:rsidRPr="007747B2">
        <w:rPr>
          <w:sz w:val="22"/>
          <w:szCs w:val="22"/>
        </w:rPr>
        <w:t>scale</w:t>
      </w:r>
      <w:r w:rsidR="006A2A65" w:rsidRPr="007747B2">
        <w:rPr>
          <w:sz w:val="22"/>
          <w:szCs w:val="22"/>
        </w:rPr>
        <w:t xml:space="preserve"> </w:t>
      </w:r>
      <w:r w:rsidR="007414E0" w:rsidRPr="007747B2">
        <w:rPr>
          <w:sz w:val="22"/>
          <w:szCs w:val="22"/>
        </w:rPr>
        <w:t>and appearance</w:t>
      </w:r>
      <w:r w:rsidR="00FD57DC" w:rsidRPr="007747B2">
        <w:rPr>
          <w:sz w:val="22"/>
          <w:szCs w:val="22"/>
        </w:rPr>
        <w:t xml:space="preserve">. Indeed, when inspecting the interior of the Rear Wing at </w:t>
      </w:r>
      <w:r w:rsidR="009A74F7">
        <w:rPr>
          <w:sz w:val="22"/>
          <w:szCs w:val="22"/>
        </w:rPr>
        <w:t xml:space="preserve">the </w:t>
      </w:r>
      <w:r w:rsidR="00FD57DC" w:rsidRPr="007747B2">
        <w:rPr>
          <w:sz w:val="22"/>
          <w:szCs w:val="22"/>
        </w:rPr>
        <w:t xml:space="preserve">ground </w:t>
      </w:r>
      <w:r w:rsidR="009A74F7">
        <w:rPr>
          <w:sz w:val="22"/>
          <w:szCs w:val="22"/>
        </w:rPr>
        <w:t xml:space="preserve">floor </w:t>
      </w:r>
      <w:r w:rsidR="00FD57DC" w:rsidRPr="007747B2">
        <w:rPr>
          <w:sz w:val="22"/>
          <w:szCs w:val="22"/>
        </w:rPr>
        <w:t>level, the Committee found it difficult to discern whether some rooms were located within the Rear Wing or Main House.</w:t>
      </w:r>
    </w:p>
    <w:p w14:paraId="4B1B967A" w14:textId="7BD99584" w:rsidR="007747B2" w:rsidRPr="007747B2" w:rsidRDefault="00CA511B" w:rsidP="000411B7">
      <w:pPr>
        <w:pStyle w:val="BP2"/>
        <w:numPr>
          <w:ilvl w:val="0"/>
          <w:numId w:val="3"/>
        </w:numPr>
        <w:tabs>
          <w:tab w:val="clear" w:pos="432"/>
          <w:tab w:val="left" w:pos="709"/>
        </w:tabs>
        <w:ind w:left="567" w:hanging="567"/>
        <w:rPr>
          <w:sz w:val="22"/>
          <w:szCs w:val="22"/>
        </w:rPr>
      </w:pPr>
      <w:r>
        <w:rPr>
          <w:sz w:val="22"/>
          <w:szCs w:val="22"/>
        </w:rPr>
        <w:t xml:space="preserve">The Committee also agrees with the evidence of </w:t>
      </w:r>
      <w:proofErr w:type="spellStart"/>
      <w:r w:rsidR="00F8626E">
        <w:rPr>
          <w:sz w:val="22"/>
          <w:szCs w:val="22"/>
        </w:rPr>
        <w:t>Mr</w:t>
      </w:r>
      <w:proofErr w:type="spellEnd"/>
      <w:r w:rsidR="00F8626E">
        <w:rPr>
          <w:sz w:val="22"/>
          <w:szCs w:val="22"/>
        </w:rPr>
        <w:t xml:space="preserve"> </w:t>
      </w:r>
      <w:proofErr w:type="spellStart"/>
      <w:r w:rsidR="00F8626E">
        <w:rPr>
          <w:sz w:val="22"/>
          <w:szCs w:val="22"/>
        </w:rPr>
        <w:t>Raworth</w:t>
      </w:r>
      <w:proofErr w:type="spellEnd"/>
      <w:r w:rsidR="00F8626E">
        <w:rPr>
          <w:sz w:val="22"/>
          <w:szCs w:val="22"/>
        </w:rPr>
        <w:t xml:space="preserve"> and </w:t>
      </w:r>
      <w:proofErr w:type="spellStart"/>
      <w:r>
        <w:rPr>
          <w:sz w:val="22"/>
          <w:szCs w:val="22"/>
        </w:rPr>
        <w:t>Ms</w:t>
      </w:r>
      <w:proofErr w:type="spellEnd"/>
      <w:r>
        <w:rPr>
          <w:sz w:val="22"/>
          <w:szCs w:val="22"/>
        </w:rPr>
        <w:t xml:space="preserve"> Gray that the Rear Wing is not a notable or intact example of a rear </w:t>
      </w:r>
      <w:r w:rsidR="006A2A65">
        <w:rPr>
          <w:sz w:val="22"/>
          <w:szCs w:val="22"/>
        </w:rPr>
        <w:t xml:space="preserve">service </w:t>
      </w:r>
      <w:r>
        <w:rPr>
          <w:sz w:val="22"/>
          <w:szCs w:val="22"/>
        </w:rPr>
        <w:t xml:space="preserve">wing. </w:t>
      </w:r>
      <w:r w:rsidR="00F8626E">
        <w:rPr>
          <w:sz w:val="22"/>
          <w:szCs w:val="22"/>
        </w:rPr>
        <w:t xml:space="preserve">There is no physical evidence within the </w:t>
      </w:r>
      <w:r w:rsidR="007747B2">
        <w:rPr>
          <w:sz w:val="22"/>
          <w:szCs w:val="22"/>
        </w:rPr>
        <w:t>Rear Wing that demonstrates its historic use for service provision</w:t>
      </w:r>
      <w:r w:rsidR="00D50853">
        <w:rPr>
          <w:sz w:val="22"/>
          <w:szCs w:val="22"/>
        </w:rPr>
        <w:t xml:space="preserve"> (such as a kitchen, laundry or scullery) </w:t>
      </w:r>
      <w:r w:rsidR="007747B2">
        <w:rPr>
          <w:sz w:val="22"/>
          <w:szCs w:val="22"/>
        </w:rPr>
        <w:t>and much of it has been altered internally and externally</w:t>
      </w:r>
      <w:r w:rsidR="00F8626E">
        <w:rPr>
          <w:sz w:val="22"/>
          <w:szCs w:val="22"/>
        </w:rPr>
        <w:t>.</w:t>
      </w:r>
    </w:p>
    <w:p w14:paraId="461FE6A1" w14:textId="5B0CF6DD" w:rsidR="00CA511B" w:rsidRPr="00310591" w:rsidRDefault="00310591" w:rsidP="000411B7">
      <w:pPr>
        <w:pStyle w:val="BP2"/>
        <w:numPr>
          <w:ilvl w:val="0"/>
          <w:numId w:val="3"/>
        </w:numPr>
        <w:tabs>
          <w:tab w:val="clear" w:pos="432"/>
          <w:tab w:val="left" w:pos="709"/>
        </w:tabs>
        <w:ind w:left="567" w:hanging="567"/>
        <w:rPr>
          <w:sz w:val="22"/>
          <w:szCs w:val="22"/>
        </w:rPr>
      </w:pPr>
      <w:r>
        <w:rPr>
          <w:sz w:val="22"/>
          <w:szCs w:val="22"/>
        </w:rPr>
        <w:t>The</w:t>
      </w:r>
      <w:r w:rsidR="00CA511B" w:rsidRPr="00310591">
        <w:rPr>
          <w:sz w:val="22"/>
          <w:szCs w:val="22"/>
        </w:rPr>
        <w:t xml:space="preserve"> </w:t>
      </w:r>
      <w:r w:rsidR="00E97A98" w:rsidRPr="00310591">
        <w:rPr>
          <w:sz w:val="22"/>
          <w:szCs w:val="22"/>
        </w:rPr>
        <w:t xml:space="preserve">Committee </w:t>
      </w:r>
      <w:r w:rsidR="005A5795">
        <w:rPr>
          <w:sz w:val="22"/>
          <w:szCs w:val="22"/>
        </w:rPr>
        <w:t>accepts the evidence of</w:t>
      </w:r>
      <w:r w:rsidR="00E97A98" w:rsidRPr="00310591">
        <w:rPr>
          <w:sz w:val="22"/>
          <w:szCs w:val="22"/>
        </w:rPr>
        <w:t xml:space="preserve"> </w:t>
      </w:r>
      <w:proofErr w:type="spellStart"/>
      <w:r w:rsidR="00E97A98" w:rsidRPr="00310591">
        <w:rPr>
          <w:sz w:val="22"/>
          <w:szCs w:val="22"/>
        </w:rPr>
        <w:t>Ms</w:t>
      </w:r>
      <w:proofErr w:type="spellEnd"/>
      <w:r w:rsidR="00E97A98" w:rsidRPr="00310591">
        <w:rPr>
          <w:sz w:val="22"/>
          <w:szCs w:val="22"/>
        </w:rPr>
        <w:t xml:space="preserve"> Gray that the </w:t>
      </w:r>
      <w:r w:rsidR="00CA511B" w:rsidRPr="00310591">
        <w:rPr>
          <w:sz w:val="22"/>
          <w:szCs w:val="22"/>
        </w:rPr>
        <w:t xml:space="preserve">significance of the Place relates primarily to </w:t>
      </w:r>
      <w:r w:rsidR="006A2A65" w:rsidRPr="00310591">
        <w:rPr>
          <w:sz w:val="22"/>
          <w:szCs w:val="22"/>
        </w:rPr>
        <w:t xml:space="preserve">the </w:t>
      </w:r>
      <w:r w:rsidR="00CA511B" w:rsidRPr="00310591">
        <w:rPr>
          <w:sz w:val="22"/>
          <w:szCs w:val="22"/>
        </w:rPr>
        <w:t xml:space="preserve">architectural and historical significance </w:t>
      </w:r>
      <w:r w:rsidR="006A2A65" w:rsidRPr="00310591">
        <w:rPr>
          <w:sz w:val="22"/>
          <w:szCs w:val="22"/>
        </w:rPr>
        <w:t xml:space="preserve">of the Main House </w:t>
      </w:r>
      <w:r w:rsidR="00CA511B" w:rsidRPr="00310591">
        <w:rPr>
          <w:sz w:val="22"/>
          <w:szCs w:val="22"/>
        </w:rPr>
        <w:t xml:space="preserve">as an example of </w:t>
      </w:r>
      <w:r w:rsidR="0091137C" w:rsidRPr="00310591">
        <w:rPr>
          <w:sz w:val="22"/>
          <w:szCs w:val="22"/>
        </w:rPr>
        <w:t xml:space="preserve">nineteenth century </w:t>
      </w:r>
      <w:r w:rsidR="00CA511B" w:rsidRPr="00310591">
        <w:rPr>
          <w:sz w:val="22"/>
          <w:szCs w:val="22"/>
        </w:rPr>
        <w:t xml:space="preserve">boom style terrace housing </w:t>
      </w:r>
      <w:r w:rsidR="0091137C" w:rsidRPr="00310591">
        <w:rPr>
          <w:sz w:val="22"/>
          <w:szCs w:val="22"/>
        </w:rPr>
        <w:t>in inner Melbourne</w:t>
      </w:r>
      <w:r w:rsidR="00482598">
        <w:rPr>
          <w:sz w:val="22"/>
          <w:szCs w:val="22"/>
        </w:rPr>
        <w:t>, and not for its intactness or completeness as a Victorian-era house.</w:t>
      </w:r>
    </w:p>
    <w:p w14:paraId="4470CB66" w14:textId="1B676111" w:rsidR="0066490F" w:rsidRDefault="0091137C" w:rsidP="000411B7">
      <w:pPr>
        <w:pStyle w:val="BP2"/>
        <w:numPr>
          <w:ilvl w:val="0"/>
          <w:numId w:val="3"/>
        </w:numPr>
        <w:tabs>
          <w:tab w:val="clear" w:pos="432"/>
          <w:tab w:val="left" w:pos="709"/>
        </w:tabs>
        <w:ind w:left="567" w:hanging="567"/>
        <w:rPr>
          <w:sz w:val="22"/>
          <w:szCs w:val="22"/>
        </w:rPr>
      </w:pPr>
      <w:r>
        <w:rPr>
          <w:sz w:val="22"/>
          <w:szCs w:val="22"/>
        </w:rPr>
        <w:t xml:space="preserve">It follows that the Committee was not persuaded by </w:t>
      </w:r>
      <w:r w:rsidR="0066490F">
        <w:rPr>
          <w:sz w:val="22"/>
          <w:szCs w:val="22"/>
        </w:rPr>
        <w:t xml:space="preserve">submissions from </w:t>
      </w:r>
      <w:r>
        <w:rPr>
          <w:sz w:val="22"/>
          <w:szCs w:val="22"/>
        </w:rPr>
        <w:t>the Executive Director</w:t>
      </w:r>
      <w:r w:rsidR="0066490F">
        <w:rPr>
          <w:sz w:val="22"/>
          <w:szCs w:val="22"/>
        </w:rPr>
        <w:t xml:space="preserve"> and</w:t>
      </w:r>
      <w:r>
        <w:rPr>
          <w:sz w:val="22"/>
          <w:szCs w:val="22"/>
        </w:rPr>
        <w:t xml:space="preserve"> </w:t>
      </w:r>
      <w:r w:rsidR="0066490F">
        <w:rPr>
          <w:sz w:val="22"/>
          <w:szCs w:val="22"/>
        </w:rPr>
        <w:t xml:space="preserve">other parties </w:t>
      </w:r>
      <w:r>
        <w:rPr>
          <w:sz w:val="22"/>
          <w:szCs w:val="22"/>
        </w:rPr>
        <w:t>that the proposed demolition would substantially alter the legibility of the Rear Wing as a service wing</w:t>
      </w:r>
      <w:r w:rsidR="006A2A65">
        <w:rPr>
          <w:sz w:val="22"/>
          <w:szCs w:val="22"/>
        </w:rPr>
        <w:t>, or the overall form, scale and extent of the Place</w:t>
      </w:r>
      <w:r w:rsidR="007653AC">
        <w:rPr>
          <w:sz w:val="22"/>
          <w:szCs w:val="22"/>
        </w:rPr>
        <w:t>. In the Committee’s view, th</w:t>
      </w:r>
      <w:r w:rsidR="0066490F">
        <w:rPr>
          <w:sz w:val="22"/>
          <w:szCs w:val="22"/>
        </w:rPr>
        <w:t>ose</w:t>
      </w:r>
      <w:r w:rsidR="007653AC">
        <w:rPr>
          <w:sz w:val="22"/>
          <w:szCs w:val="22"/>
        </w:rPr>
        <w:t xml:space="preserve"> submissions </w:t>
      </w:r>
      <w:r w:rsidR="008D2195">
        <w:rPr>
          <w:sz w:val="22"/>
          <w:szCs w:val="22"/>
        </w:rPr>
        <w:t xml:space="preserve">significantly </w:t>
      </w:r>
      <w:r w:rsidR="001B3A62">
        <w:rPr>
          <w:sz w:val="22"/>
          <w:szCs w:val="22"/>
        </w:rPr>
        <w:t>understate the effect that recent building alterations have had on the Rear Wing and the western end of the Subject Site generally</w:t>
      </w:r>
      <w:r w:rsidR="00452CDB">
        <w:rPr>
          <w:sz w:val="22"/>
          <w:szCs w:val="22"/>
        </w:rPr>
        <w:t>.</w:t>
      </w:r>
    </w:p>
    <w:p w14:paraId="53DF3221" w14:textId="1BED945E" w:rsidR="00CA511B" w:rsidRDefault="001B3A62" w:rsidP="000411B7">
      <w:pPr>
        <w:pStyle w:val="BP2"/>
        <w:numPr>
          <w:ilvl w:val="0"/>
          <w:numId w:val="3"/>
        </w:numPr>
        <w:tabs>
          <w:tab w:val="clear" w:pos="432"/>
          <w:tab w:val="left" w:pos="709"/>
        </w:tabs>
        <w:ind w:left="567" w:hanging="567"/>
        <w:rPr>
          <w:sz w:val="22"/>
          <w:szCs w:val="22"/>
        </w:rPr>
      </w:pPr>
      <w:r>
        <w:rPr>
          <w:sz w:val="22"/>
          <w:szCs w:val="22"/>
        </w:rPr>
        <w:t xml:space="preserve">The Committee </w:t>
      </w:r>
      <w:r w:rsidR="0066490F">
        <w:rPr>
          <w:sz w:val="22"/>
          <w:szCs w:val="22"/>
        </w:rPr>
        <w:t xml:space="preserve">does not accept the Executive Director’s contention that the current </w:t>
      </w:r>
      <w:r w:rsidR="001436AD">
        <w:rPr>
          <w:sz w:val="22"/>
          <w:szCs w:val="22"/>
        </w:rPr>
        <w:t>condition</w:t>
      </w:r>
      <w:r w:rsidR="0066490F">
        <w:rPr>
          <w:sz w:val="22"/>
          <w:szCs w:val="22"/>
        </w:rPr>
        <w:t xml:space="preserve"> of the Rear Wing can be easily reversed. </w:t>
      </w:r>
      <w:r w:rsidR="001436AD">
        <w:rPr>
          <w:sz w:val="22"/>
          <w:szCs w:val="22"/>
        </w:rPr>
        <w:t xml:space="preserve">Indeed, the Committee considers that this would likely involve significant work and </w:t>
      </w:r>
      <w:proofErr w:type="gramStart"/>
      <w:r w:rsidR="001436AD">
        <w:rPr>
          <w:sz w:val="22"/>
          <w:szCs w:val="22"/>
        </w:rPr>
        <w:t>expense</w:t>
      </w:r>
      <w:r w:rsidR="00B57E1C">
        <w:rPr>
          <w:sz w:val="22"/>
          <w:szCs w:val="22"/>
        </w:rPr>
        <w:t>, and</w:t>
      </w:r>
      <w:proofErr w:type="gramEnd"/>
      <w:r w:rsidR="00B57E1C">
        <w:rPr>
          <w:sz w:val="22"/>
          <w:szCs w:val="22"/>
        </w:rPr>
        <w:t xml:space="preserve"> seems generally improbable and theoretical</w:t>
      </w:r>
      <w:r w:rsidR="001436AD">
        <w:rPr>
          <w:sz w:val="22"/>
          <w:szCs w:val="22"/>
        </w:rPr>
        <w:t xml:space="preserve">. </w:t>
      </w:r>
      <w:r w:rsidR="0066490F">
        <w:rPr>
          <w:sz w:val="22"/>
          <w:szCs w:val="22"/>
        </w:rPr>
        <w:t xml:space="preserve">In </w:t>
      </w:r>
      <w:r w:rsidR="00C73731">
        <w:rPr>
          <w:sz w:val="22"/>
          <w:szCs w:val="22"/>
        </w:rPr>
        <w:t xml:space="preserve">any </w:t>
      </w:r>
      <w:r w:rsidR="001436AD">
        <w:rPr>
          <w:sz w:val="22"/>
          <w:szCs w:val="22"/>
        </w:rPr>
        <w:t>event</w:t>
      </w:r>
      <w:r w:rsidR="00C73731">
        <w:rPr>
          <w:sz w:val="22"/>
          <w:szCs w:val="22"/>
        </w:rPr>
        <w:t xml:space="preserve">, the Application must be assessed based on the current </w:t>
      </w:r>
      <w:r w:rsidR="00E97A98">
        <w:rPr>
          <w:sz w:val="22"/>
          <w:szCs w:val="22"/>
        </w:rPr>
        <w:t>condition</w:t>
      </w:r>
      <w:r w:rsidR="00C73731">
        <w:rPr>
          <w:sz w:val="22"/>
          <w:szCs w:val="22"/>
        </w:rPr>
        <w:t xml:space="preserve"> of the Place, and not </w:t>
      </w:r>
      <w:r w:rsidR="00452CDB">
        <w:rPr>
          <w:sz w:val="22"/>
          <w:szCs w:val="22"/>
        </w:rPr>
        <w:t>as it was before the Addition or other alterations were made.</w:t>
      </w:r>
    </w:p>
    <w:p w14:paraId="577936D6" w14:textId="36A787CC" w:rsidR="004F5687" w:rsidRPr="00840D4A" w:rsidRDefault="005A5795" w:rsidP="000411B7">
      <w:pPr>
        <w:pStyle w:val="BP2"/>
        <w:numPr>
          <w:ilvl w:val="0"/>
          <w:numId w:val="3"/>
        </w:numPr>
        <w:tabs>
          <w:tab w:val="clear" w:pos="432"/>
          <w:tab w:val="left" w:pos="709"/>
        </w:tabs>
        <w:ind w:left="567" w:hanging="567"/>
        <w:rPr>
          <w:sz w:val="22"/>
          <w:szCs w:val="22"/>
        </w:rPr>
      </w:pPr>
      <w:r w:rsidRPr="00840D4A">
        <w:rPr>
          <w:sz w:val="22"/>
          <w:szCs w:val="22"/>
        </w:rPr>
        <w:t xml:space="preserve">The Committee was also not </w:t>
      </w:r>
      <w:r w:rsidR="0087722F" w:rsidRPr="00840D4A">
        <w:rPr>
          <w:sz w:val="22"/>
          <w:szCs w:val="22"/>
        </w:rPr>
        <w:t>convinced by arguments</w:t>
      </w:r>
      <w:r w:rsidRPr="00840D4A">
        <w:rPr>
          <w:sz w:val="22"/>
          <w:szCs w:val="22"/>
        </w:rPr>
        <w:t xml:space="preserve"> that the full retention of the Rear Wing is necessary to properly appreciate </w:t>
      </w:r>
      <w:r w:rsidR="0087722F" w:rsidRPr="00840D4A">
        <w:rPr>
          <w:sz w:val="22"/>
          <w:szCs w:val="22"/>
        </w:rPr>
        <w:t>its</w:t>
      </w:r>
      <w:r w:rsidRPr="00840D4A">
        <w:rPr>
          <w:sz w:val="22"/>
          <w:szCs w:val="22"/>
        </w:rPr>
        <w:t xml:space="preserve"> original form and scal</w:t>
      </w:r>
      <w:r w:rsidR="0087722F" w:rsidRPr="00840D4A">
        <w:rPr>
          <w:sz w:val="22"/>
          <w:szCs w:val="22"/>
        </w:rPr>
        <w:t xml:space="preserve">e. Those arguments might have had force if the Rear Wing was a substantially intact service wing and not enclosed by built form </w:t>
      </w:r>
      <w:r w:rsidR="004F5687" w:rsidRPr="00840D4A">
        <w:rPr>
          <w:sz w:val="22"/>
          <w:szCs w:val="22"/>
        </w:rPr>
        <w:t xml:space="preserve">to the south and west. However, that is not the current situation. In the Committee’s view, the retention of the eastern half of the Rear Wing will enable the three-dimensional form and use of the Rear Wing as a service wing to </w:t>
      </w:r>
      <w:r w:rsidR="00B07AE2" w:rsidRPr="00840D4A">
        <w:rPr>
          <w:sz w:val="22"/>
          <w:szCs w:val="22"/>
        </w:rPr>
        <w:t xml:space="preserve">continue to </w:t>
      </w:r>
      <w:r w:rsidR="004F5687" w:rsidRPr="00840D4A">
        <w:rPr>
          <w:sz w:val="22"/>
          <w:szCs w:val="22"/>
        </w:rPr>
        <w:t>be understood and appreciated.</w:t>
      </w:r>
    </w:p>
    <w:p w14:paraId="095C4EEA" w14:textId="2954FB03" w:rsidR="00C40DBD" w:rsidRDefault="00C40DBD" w:rsidP="00717377">
      <w:pPr>
        <w:pStyle w:val="H4"/>
        <w:keepNext/>
        <w:spacing w:after="120"/>
        <w:rPr>
          <w:sz w:val="22"/>
        </w:rPr>
      </w:pPr>
      <w:r>
        <w:rPr>
          <w:sz w:val="22"/>
        </w:rPr>
        <w:t>IMPACT OF NEW WORKS ON THE CULTURAL heritage significance of the place</w:t>
      </w:r>
    </w:p>
    <w:p w14:paraId="00978200" w14:textId="237D18F5" w:rsidR="005664DE" w:rsidRPr="005664DE" w:rsidRDefault="00302301" w:rsidP="005664DE">
      <w:pPr>
        <w:pStyle w:val="BP2"/>
        <w:spacing w:before="240" w:after="240"/>
        <w:jc w:val="both"/>
        <w:rPr>
          <w:b/>
          <w:bCs/>
          <w:spacing w:val="-1"/>
          <w:sz w:val="23"/>
          <w:szCs w:val="23"/>
        </w:rPr>
      </w:pPr>
      <w:r>
        <w:rPr>
          <w:b/>
          <w:bCs/>
          <w:spacing w:val="-1"/>
          <w:sz w:val="23"/>
          <w:szCs w:val="23"/>
        </w:rPr>
        <w:t xml:space="preserve">Proposed </w:t>
      </w:r>
      <w:r w:rsidR="005664DE">
        <w:rPr>
          <w:b/>
          <w:bCs/>
          <w:spacing w:val="-1"/>
          <w:sz w:val="23"/>
          <w:szCs w:val="23"/>
        </w:rPr>
        <w:t>A</w:t>
      </w:r>
      <w:r w:rsidR="005664DE" w:rsidRPr="005664DE">
        <w:rPr>
          <w:b/>
          <w:bCs/>
          <w:spacing w:val="-1"/>
          <w:sz w:val="23"/>
          <w:szCs w:val="23"/>
        </w:rPr>
        <w:t xml:space="preserve">partment </w:t>
      </w:r>
      <w:r>
        <w:rPr>
          <w:b/>
          <w:bCs/>
          <w:spacing w:val="-1"/>
          <w:sz w:val="23"/>
          <w:szCs w:val="23"/>
        </w:rPr>
        <w:t>Building</w:t>
      </w:r>
    </w:p>
    <w:p w14:paraId="354C2054" w14:textId="6416DE2F" w:rsidR="00C40DBD" w:rsidRPr="00844234" w:rsidRDefault="00C40DBD" w:rsidP="00C40DBD">
      <w:pPr>
        <w:pStyle w:val="BP2"/>
        <w:spacing w:before="240" w:after="240"/>
        <w:jc w:val="both"/>
        <w:rPr>
          <w:bCs/>
          <w:i/>
          <w:spacing w:val="-1"/>
          <w:sz w:val="22"/>
          <w:szCs w:val="22"/>
        </w:rPr>
      </w:pPr>
      <w:r w:rsidRPr="00844234">
        <w:rPr>
          <w:bCs/>
          <w:i/>
          <w:spacing w:val="-1"/>
          <w:sz w:val="22"/>
          <w:szCs w:val="22"/>
        </w:rPr>
        <w:t>Summary of submissions and evidence</w:t>
      </w:r>
    </w:p>
    <w:p w14:paraId="46DBEABB" w14:textId="3229B777" w:rsidR="00926364" w:rsidRDefault="006F2B4B" w:rsidP="000411B7">
      <w:pPr>
        <w:pStyle w:val="BP2"/>
        <w:numPr>
          <w:ilvl w:val="0"/>
          <w:numId w:val="3"/>
        </w:numPr>
        <w:tabs>
          <w:tab w:val="clear" w:pos="432"/>
          <w:tab w:val="left" w:pos="567"/>
        </w:tabs>
        <w:ind w:left="567" w:hanging="567"/>
        <w:rPr>
          <w:sz w:val="22"/>
          <w:szCs w:val="22"/>
        </w:rPr>
      </w:pPr>
      <w:r>
        <w:rPr>
          <w:sz w:val="22"/>
          <w:szCs w:val="22"/>
        </w:rPr>
        <w:t xml:space="preserve">The Executive Director submitted that </w:t>
      </w:r>
      <w:r w:rsidR="00926364">
        <w:rPr>
          <w:sz w:val="22"/>
          <w:szCs w:val="22"/>
        </w:rPr>
        <w:t>the proposed apartment building w</w:t>
      </w:r>
      <w:r w:rsidR="00302301">
        <w:rPr>
          <w:sz w:val="22"/>
          <w:szCs w:val="22"/>
        </w:rPr>
        <w:t>ould</w:t>
      </w:r>
      <w:r w:rsidR="00926364">
        <w:rPr>
          <w:sz w:val="22"/>
          <w:szCs w:val="22"/>
        </w:rPr>
        <w:t xml:space="preserve"> detrimentally affect the cultural heritage significance of the Place</w:t>
      </w:r>
      <w:r w:rsidR="00926364" w:rsidRPr="00926364">
        <w:rPr>
          <w:sz w:val="22"/>
          <w:szCs w:val="22"/>
        </w:rPr>
        <w:t xml:space="preserve"> </w:t>
      </w:r>
      <w:r w:rsidR="00926364">
        <w:rPr>
          <w:sz w:val="22"/>
          <w:szCs w:val="22"/>
        </w:rPr>
        <w:t>because</w:t>
      </w:r>
      <w:r w:rsidR="00CD498E">
        <w:rPr>
          <w:sz w:val="22"/>
          <w:szCs w:val="22"/>
        </w:rPr>
        <w:t xml:space="preserve"> </w:t>
      </w:r>
      <w:r w:rsidR="00926364">
        <w:rPr>
          <w:sz w:val="22"/>
          <w:szCs w:val="22"/>
        </w:rPr>
        <w:t>it</w:t>
      </w:r>
      <w:r w:rsidR="00E97A98">
        <w:rPr>
          <w:sz w:val="22"/>
          <w:szCs w:val="22"/>
        </w:rPr>
        <w:t xml:space="preserve"> is much taller than the</w:t>
      </w:r>
      <w:r w:rsidR="00926364">
        <w:rPr>
          <w:sz w:val="22"/>
          <w:szCs w:val="22"/>
        </w:rPr>
        <w:t xml:space="preserve"> Main Hous</w:t>
      </w:r>
      <w:r w:rsidR="00CD498E">
        <w:rPr>
          <w:sz w:val="22"/>
          <w:szCs w:val="22"/>
        </w:rPr>
        <w:t>e</w:t>
      </w:r>
      <w:r w:rsidR="00E97A98">
        <w:rPr>
          <w:sz w:val="22"/>
          <w:szCs w:val="22"/>
        </w:rPr>
        <w:t xml:space="preserve"> and</w:t>
      </w:r>
      <w:r w:rsidR="00242DAA">
        <w:rPr>
          <w:sz w:val="22"/>
          <w:szCs w:val="22"/>
        </w:rPr>
        <w:t xml:space="preserve"> w</w:t>
      </w:r>
      <w:r w:rsidR="007866B0">
        <w:rPr>
          <w:sz w:val="22"/>
          <w:szCs w:val="22"/>
        </w:rPr>
        <w:t>ould</w:t>
      </w:r>
      <w:r w:rsidR="00242DAA">
        <w:rPr>
          <w:sz w:val="22"/>
          <w:szCs w:val="22"/>
        </w:rPr>
        <w:t xml:space="preserve"> be</w:t>
      </w:r>
      <w:r w:rsidR="00E97A98">
        <w:rPr>
          <w:sz w:val="22"/>
          <w:szCs w:val="22"/>
        </w:rPr>
        <w:t xml:space="preserve"> </w:t>
      </w:r>
      <w:r w:rsidR="00242DAA">
        <w:rPr>
          <w:sz w:val="22"/>
          <w:szCs w:val="22"/>
        </w:rPr>
        <w:t xml:space="preserve">more visually </w:t>
      </w:r>
      <w:r w:rsidR="007866B0">
        <w:rPr>
          <w:sz w:val="22"/>
          <w:szCs w:val="22"/>
        </w:rPr>
        <w:t>intrusive</w:t>
      </w:r>
      <w:r w:rsidR="00242DAA">
        <w:rPr>
          <w:sz w:val="22"/>
          <w:szCs w:val="22"/>
        </w:rPr>
        <w:t xml:space="preserve"> than existing built form surrounding the Subject Site.</w:t>
      </w:r>
    </w:p>
    <w:p w14:paraId="1B9CE07A" w14:textId="2C375B78" w:rsidR="008B6ABC" w:rsidRPr="009236CA" w:rsidRDefault="008B6ABC" w:rsidP="000411B7">
      <w:pPr>
        <w:pStyle w:val="BP2"/>
        <w:numPr>
          <w:ilvl w:val="0"/>
          <w:numId w:val="3"/>
        </w:numPr>
        <w:tabs>
          <w:tab w:val="clear" w:pos="432"/>
          <w:tab w:val="left" w:pos="567"/>
        </w:tabs>
        <w:ind w:left="567" w:hanging="567"/>
        <w:rPr>
          <w:sz w:val="22"/>
          <w:szCs w:val="22"/>
        </w:rPr>
      </w:pPr>
      <w:r>
        <w:rPr>
          <w:sz w:val="22"/>
          <w:szCs w:val="22"/>
        </w:rPr>
        <w:lastRenderedPageBreak/>
        <w:t xml:space="preserve">The Executive Director </w:t>
      </w:r>
      <w:r w:rsidR="00242DAA">
        <w:rPr>
          <w:sz w:val="22"/>
          <w:szCs w:val="22"/>
        </w:rPr>
        <w:t>conceded</w:t>
      </w:r>
      <w:r>
        <w:rPr>
          <w:sz w:val="22"/>
          <w:szCs w:val="22"/>
        </w:rPr>
        <w:t xml:space="preserve"> that the </w:t>
      </w:r>
      <w:r w:rsidR="007866B0">
        <w:rPr>
          <w:sz w:val="22"/>
          <w:szCs w:val="22"/>
        </w:rPr>
        <w:t xml:space="preserve">Place is already </w:t>
      </w:r>
      <w:r>
        <w:rPr>
          <w:sz w:val="22"/>
          <w:szCs w:val="22"/>
        </w:rPr>
        <w:t xml:space="preserve">viewed against a backdrop of existing </w:t>
      </w:r>
      <w:r w:rsidR="00082079">
        <w:rPr>
          <w:sz w:val="22"/>
          <w:szCs w:val="22"/>
        </w:rPr>
        <w:t xml:space="preserve">tall </w:t>
      </w:r>
      <w:r>
        <w:rPr>
          <w:sz w:val="22"/>
          <w:szCs w:val="22"/>
        </w:rPr>
        <w:t xml:space="preserve">buildings, </w:t>
      </w:r>
      <w:r w:rsidR="00115CD8">
        <w:rPr>
          <w:sz w:val="22"/>
          <w:szCs w:val="22"/>
        </w:rPr>
        <w:t>most notably</w:t>
      </w:r>
      <w:r w:rsidR="00082079">
        <w:rPr>
          <w:sz w:val="22"/>
          <w:szCs w:val="22"/>
        </w:rPr>
        <w:t xml:space="preserve"> </w:t>
      </w:r>
      <w:r w:rsidR="00903695">
        <w:rPr>
          <w:sz w:val="22"/>
          <w:szCs w:val="22"/>
        </w:rPr>
        <w:t>the</w:t>
      </w:r>
      <w:r>
        <w:rPr>
          <w:sz w:val="22"/>
          <w:szCs w:val="22"/>
        </w:rPr>
        <w:t xml:space="preserve"> eight-</w:t>
      </w:r>
      <w:proofErr w:type="spellStart"/>
      <w:r>
        <w:rPr>
          <w:sz w:val="22"/>
          <w:szCs w:val="22"/>
        </w:rPr>
        <w:t>storey</w:t>
      </w:r>
      <w:proofErr w:type="spellEnd"/>
      <w:r>
        <w:rPr>
          <w:sz w:val="22"/>
          <w:szCs w:val="22"/>
        </w:rPr>
        <w:t xml:space="preserve"> carpark</w:t>
      </w:r>
      <w:r w:rsidR="00242DAA">
        <w:rPr>
          <w:sz w:val="22"/>
          <w:szCs w:val="22"/>
        </w:rPr>
        <w:t xml:space="preserve"> immediately to the west of the Subject Site</w:t>
      </w:r>
      <w:r w:rsidR="00903695">
        <w:rPr>
          <w:sz w:val="22"/>
          <w:szCs w:val="22"/>
        </w:rPr>
        <w:t xml:space="preserve">. </w:t>
      </w:r>
      <w:r w:rsidR="00082079">
        <w:rPr>
          <w:sz w:val="22"/>
          <w:szCs w:val="22"/>
        </w:rPr>
        <w:t xml:space="preserve">The Executive Director also </w:t>
      </w:r>
      <w:r w:rsidR="00242DAA">
        <w:rPr>
          <w:sz w:val="22"/>
          <w:szCs w:val="22"/>
        </w:rPr>
        <w:t>conceded</w:t>
      </w:r>
      <w:r w:rsidR="00082079">
        <w:rPr>
          <w:sz w:val="22"/>
          <w:szCs w:val="22"/>
        </w:rPr>
        <w:t xml:space="preserve"> that the apartment building </w:t>
      </w:r>
      <w:r w:rsidR="002A6B66">
        <w:rPr>
          <w:sz w:val="22"/>
          <w:szCs w:val="22"/>
        </w:rPr>
        <w:t xml:space="preserve">and carpark </w:t>
      </w:r>
      <w:r w:rsidR="007866B0">
        <w:rPr>
          <w:sz w:val="22"/>
          <w:szCs w:val="22"/>
        </w:rPr>
        <w:t>are</w:t>
      </w:r>
      <w:r w:rsidR="00082079">
        <w:rPr>
          <w:sz w:val="22"/>
          <w:szCs w:val="22"/>
        </w:rPr>
        <w:t xml:space="preserve"> similar </w:t>
      </w:r>
      <w:r w:rsidR="007866B0">
        <w:rPr>
          <w:sz w:val="22"/>
          <w:szCs w:val="22"/>
        </w:rPr>
        <w:t xml:space="preserve">in </w:t>
      </w:r>
      <w:r w:rsidR="00082079">
        <w:rPr>
          <w:sz w:val="22"/>
          <w:szCs w:val="22"/>
        </w:rPr>
        <w:t>height.</w:t>
      </w:r>
      <w:r w:rsidR="002A6B66">
        <w:rPr>
          <w:rStyle w:val="FootnoteReference"/>
          <w:sz w:val="22"/>
          <w:szCs w:val="22"/>
        </w:rPr>
        <w:footnoteReference w:id="8"/>
      </w:r>
      <w:r w:rsidR="00082079">
        <w:rPr>
          <w:sz w:val="22"/>
          <w:szCs w:val="22"/>
        </w:rPr>
        <w:t xml:space="preserve"> </w:t>
      </w:r>
      <w:r w:rsidR="00903695">
        <w:rPr>
          <w:sz w:val="22"/>
          <w:szCs w:val="22"/>
        </w:rPr>
        <w:t xml:space="preserve">However, the Executive Director </w:t>
      </w:r>
      <w:r w:rsidR="00B24AF3">
        <w:rPr>
          <w:sz w:val="22"/>
          <w:szCs w:val="22"/>
        </w:rPr>
        <w:t>submitted</w:t>
      </w:r>
      <w:r w:rsidR="00903695">
        <w:rPr>
          <w:sz w:val="22"/>
          <w:szCs w:val="22"/>
        </w:rPr>
        <w:t xml:space="preserve"> that </w:t>
      </w:r>
      <w:r w:rsidR="00082079">
        <w:rPr>
          <w:sz w:val="22"/>
          <w:szCs w:val="22"/>
        </w:rPr>
        <w:t>the</w:t>
      </w:r>
      <w:r w:rsidR="00302301">
        <w:rPr>
          <w:sz w:val="22"/>
          <w:szCs w:val="22"/>
        </w:rPr>
        <w:t xml:space="preserve"> </w:t>
      </w:r>
      <w:r w:rsidR="00082079">
        <w:rPr>
          <w:sz w:val="22"/>
          <w:szCs w:val="22"/>
        </w:rPr>
        <w:t xml:space="preserve">apartment building </w:t>
      </w:r>
      <w:r w:rsidR="007866B0">
        <w:rPr>
          <w:sz w:val="22"/>
          <w:szCs w:val="22"/>
        </w:rPr>
        <w:t xml:space="preserve">would be more visually intrusive than the carpark because it </w:t>
      </w:r>
      <w:r w:rsidR="00AA1B52">
        <w:rPr>
          <w:sz w:val="22"/>
          <w:szCs w:val="22"/>
        </w:rPr>
        <w:t xml:space="preserve">is located within the rear yard of the Subject Site (in front of the carpark) and </w:t>
      </w:r>
      <w:r w:rsidR="00115CD8" w:rsidRPr="00115CD8">
        <w:rPr>
          <w:sz w:val="22"/>
          <w:szCs w:val="22"/>
        </w:rPr>
        <w:t xml:space="preserve">spans the </w:t>
      </w:r>
      <w:r w:rsidR="00AA1B52">
        <w:rPr>
          <w:sz w:val="22"/>
          <w:szCs w:val="22"/>
        </w:rPr>
        <w:t xml:space="preserve">full </w:t>
      </w:r>
      <w:r w:rsidR="00115CD8" w:rsidRPr="00115CD8">
        <w:rPr>
          <w:sz w:val="22"/>
          <w:szCs w:val="22"/>
        </w:rPr>
        <w:t>width of</w:t>
      </w:r>
      <w:r w:rsidR="00242DAA">
        <w:rPr>
          <w:sz w:val="22"/>
          <w:szCs w:val="22"/>
        </w:rPr>
        <w:t xml:space="preserve"> the Subject </w:t>
      </w:r>
      <w:r w:rsidR="00242DAA" w:rsidRPr="009236CA">
        <w:rPr>
          <w:sz w:val="22"/>
          <w:szCs w:val="22"/>
        </w:rPr>
        <w:t>Site</w:t>
      </w:r>
      <w:r w:rsidR="008030B2" w:rsidRPr="009236CA">
        <w:rPr>
          <w:sz w:val="22"/>
          <w:szCs w:val="22"/>
        </w:rPr>
        <w:t>.</w:t>
      </w:r>
      <w:r w:rsidR="00AA1B52" w:rsidRPr="009236CA">
        <w:rPr>
          <w:sz w:val="22"/>
          <w:szCs w:val="22"/>
        </w:rPr>
        <w:t xml:space="preserve"> </w:t>
      </w:r>
      <w:r w:rsidR="00242DAA" w:rsidRPr="009236CA">
        <w:rPr>
          <w:sz w:val="22"/>
          <w:szCs w:val="22"/>
        </w:rPr>
        <w:t>The</w:t>
      </w:r>
      <w:r w:rsidR="00115CD8" w:rsidRPr="009236CA">
        <w:rPr>
          <w:sz w:val="22"/>
          <w:szCs w:val="22"/>
        </w:rPr>
        <w:t xml:space="preserve"> </w:t>
      </w:r>
      <w:r w:rsidR="00242DAA" w:rsidRPr="009236CA">
        <w:rPr>
          <w:sz w:val="22"/>
          <w:szCs w:val="22"/>
        </w:rPr>
        <w:t xml:space="preserve">Executive Director also </w:t>
      </w:r>
      <w:r w:rsidR="007866B0" w:rsidRPr="009236CA">
        <w:rPr>
          <w:sz w:val="22"/>
          <w:szCs w:val="22"/>
        </w:rPr>
        <w:t>submitted tha</w:t>
      </w:r>
      <w:r w:rsidR="00AA1B52" w:rsidRPr="009236CA">
        <w:rPr>
          <w:sz w:val="22"/>
          <w:szCs w:val="22"/>
        </w:rPr>
        <w:t xml:space="preserve">t </w:t>
      </w:r>
      <w:r w:rsidR="00880AD1" w:rsidRPr="009236CA">
        <w:rPr>
          <w:sz w:val="22"/>
          <w:szCs w:val="22"/>
        </w:rPr>
        <w:t xml:space="preserve">because the </w:t>
      </w:r>
      <w:r w:rsidR="00115CD8" w:rsidRPr="009236CA">
        <w:rPr>
          <w:sz w:val="22"/>
          <w:szCs w:val="22"/>
        </w:rPr>
        <w:t>car</w:t>
      </w:r>
      <w:r w:rsidR="00B24AF3" w:rsidRPr="009236CA">
        <w:rPr>
          <w:sz w:val="22"/>
          <w:szCs w:val="22"/>
        </w:rPr>
        <w:t xml:space="preserve">park </w:t>
      </w:r>
      <w:r w:rsidR="00242DAA" w:rsidRPr="009236CA">
        <w:rPr>
          <w:sz w:val="22"/>
          <w:szCs w:val="22"/>
        </w:rPr>
        <w:t>has a</w:t>
      </w:r>
      <w:r w:rsidR="00B24AF3" w:rsidRPr="009236CA">
        <w:rPr>
          <w:sz w:val="22"/>
          <w:szCs w:val="22"/>
        </w:rPr>
        <w:t xml:space="preserve"> uniform façade of solid and void horizontal spaces</w:t>
      </w:r>
      <w:r w:rsidR="00880AD1" w:rsidRPr="009236CA">
        <w:rPr>
          <w:sz w:val="22"/>
          <w:szCs w:val="22"/>
        </w:rPr>
        <w:t>, it has a more subdued appearance than</w:t>
      </w:r>
      <w:r w:rsidR="00AA1B52" w:rsidRPr="009236CA">
        <w:rPr>
          <w:sz w:val="22"/>
          <w:szCs w:val="22"/>
        </w:rPr>
        <w:t xml:space="preserve"> </w:t>
      </w:r>
      <w:r w:rsidR="007866B0" w:rsidRPr="009236CA">
        <w:rPr>
          <w:sz w:val="22"/>
          <w:szCs w:val="22"/>
        </w:rPr>
        <w:t xml:space="preserve">the </w:t>
      </w:r>
      <w:r w:rsidR="00AA1B52" w:rsidRPr="009236CA">
        <w:rPr>
          <w:sz w:val="22"/>
          <w:szCs w:val="22"/>
        </w:rPr>
        <w:t xml:space="preserve">proposed </w:t>
      </w:r>
      <w:r w:rsidR="00115CD8" w:rsidRPr="009236CA">
        <w:rPr>
          <w:sz w:val="22"/>
          <w:szCs w:val="22"/>
        </w:rPr>
        <w:t>apartment building façade</w:t>
      </w:r>
      <w:r w:rsidR="00880AD1" w:rsidRPr="009236CA">
        <w:rPr>
          <w:sz w:val="22"/>
          <w:szCs w:val="22"/>
        </w:rPr>
        <w:t xml:space="preserve"> (which is contemporary in appearance and incorporates multiple building materials)</w:t>
      </w:r>
      <w:r w:rsidR="00115CD8" w:rsidRPr="009236CA">
        <w:rPr>
          <w:sz w:val="22"/>
          <w:szCs w:val="22"/>
        </w:rPr>
        <w:t>.</w:t>
      </w:r>
    </w:p>
    <w:p w14:paraId="502D3567" w14:textId="3E52AA1D" w:rsidR="00C40DBD" w:rsidRDefault="00926364" w:rsidP="000411B7">
      <w:pPr>
        <w:pStyle w:val="BP2"/>
        <w:numPr>
          <w:ilvl w:val="0"/>
          <w:numId w:val="3"/>
        </w:numPr>
        <w:tabs>
          <w:tab w:val="clear" w:pos="432"/>
          <w:tab w:val="left" w:pos="567"/>
        </w:tabs>
        <w:ind w:left="567" w:hanging="567"/>
        <w:rPr>
          <w:sz w:val="22"/>
          <w:szCs w:val="22"/>
        </w:rPr>
      </w:pPr>
      <w:r>
        <w:rPr>
          <w:sz w:val="22"/>
          <w:szCs w:val="22"/>
        </w:rPr>
        <w:t xml:space="preserve">For the same reasons, the Executive Director submitted that the </w:t>
      </w:r>
      <w:r w:rsidR="00CD498E">
        <w:rPr>
          <w:sz w:val="22"/>
          <w:szCs w:val="22"/>
        </w:rPr>
        <w:t xml:space="preserve">proposal would detrimentally affect the cultural heritage significance of </w:t>
      </w:r>
      <w:r>
        <w:rPr>
          <w:sz w:val="22"/>
          <w:szCs w:val="22"/>
        </w:rPr>
        <w:t xml:space="preserve">Dodgson House at 9 Brunswick Street and the residence at 13 </w:t>
      </w:r>
      <w:r w:rsidR="00CD498E">
        <w:rPr>
          <w:sz w:val="22"/>
          <w:szCs w:val="22"/>
        </w:rPr>
        <w:t>Brunswick Street, both of which are in the Register (being H1706 and H0150, respectively).</w:t>
      </w:r>
    </w:p>
    <w:p w14:paraId="0454F068" w14:textId="56CFCB97" w:rsidR="002046BC" w:rsidRPr="00E6411A" w:rsidRDefault="002046BC" w:rsidP="000411B7">
      <w:pPr>
        <w:pStyle w:val="BP2"/>
        <w:numPr>
          <w:ilvl w:val="0"/>
          <w:numId w:val="3"/>
        </w:numPr>
        <w:tabs>
          <w:tab w:val="clear" w:pos="432"/>
          <w:tab w:val="left" w:pos="567"/>
        </w:tabs>
        <w:ind w:left="567" w:hanging="567"/>
        <w:rPr>
          <w:sz w:val="22"/>
          <w:szCs w:val="22"/>
        </w:rPr>
      </w:pPr>
      <w:proofErr w:type="spellStart"/>
      <w:r w:rsidRPr="00E6411A">
        <w:rPr>
          <w:sz w:val="22"/>
          <w:szCs w:val="22"/>
        </w:rPr>
        <w:t>Yarra</w:t>
      </w:r>
      <w:proofErr w:type="spellEnd"/>
      <w:r w:rsidRPr="00E6411A">
        <w:rPr>
          <w:sz w:val="22"/>
          <w:szCs w:val="22"/>
        </w:rPr>
        <w:t xml:space="preserve"> expressed the view that the </w:t>
      </w:r>
      <w:r w:rsidR="00874936" w:rsidRPr="00E6411A">
        <w:rPr>
          <w:sz w:val="22"/>
          <w:szCs w:val="22"/>
        </w:rPr>
        <w:t xml:space="preserve">proposed </w:t>
      </w:r>
      <w:r w:rsidRPr="00E6411A">
        <w:rPr>
          <w:sz w:val="22"/>
          <w:szCs w:val="22"/>
        </w:rPr>
        <w:t>apartment building is a major intrusion into a largely intact local precinct, changing its appearance and character, and that the loss of significant built fabric is not justifiable</w:t>
      </w:r>
      <w:r w:rsidR="00874936" w:rsidRPr="00E6411A">
        <w:rPr>
          <w:sz w:val="22"/>
          <w:szCs w:val="22"/>
        </w:rPr>
        <w:t>.</w:t>
      </w:r>
    </w:p>
    <w:p w14:paraId="0AFD157C" w14:textId="59EF67FB" w:rsidR="00C40DBD" w:rsidRDefault="002A6B66" w:rsidP="000411B7">
      <w:pPr>
        <w:pStyle w:val="BP2"/>
        <w:numPr>
          <w:ilvl w:val="0"/>
          <w:numId w:val="3"/>
        </w:numPr>
        <w:tabs>
          <w:tab w:val="clear" w:pos="432"/>
          <w:tab w:val="left" w:pos="567"/>
        </w:tabs>
        <w:ind w:left="567" w:hanging="567"/>
        <w:rPr>
          <w:sz w:val="22"/>
          <w:szCs w:val="22"/>
        </w:rPr>
      </w:pPr>
      <w:r>
        <w:rPr>
          <w:sz w:val="22"/>
          <w:szCs w:val="22"/>
        </w:rPr>
        <w:t xml:space="preserve">Other submitters </w:t>
      </w:r>
      <w:r w:rsidR="00AD5F42">
        <w:rPr>
          <w:sz w:val="22"/>
          <w:szCs w:val="22"/>
        </w:rPr>
        <w:t xml:space="preserve">also expressed concern about the impact of the height of the </w:t>
      </w:r>
      <w:r w:rsidR="00302301">
        <w:rPr>
          <w:sz w:val="22"/>
          <w:szCs w:val="22"/>
        </w:rPr>
        <w:t xml:space="preserve">proposed </w:t>
      </w:r>
      <w:r w:rsidR="00AD5F42">
        <w:rPr>
          <w:sz w:val="22"/>
          <w:szCs w:val="22"/>
        </w:rPr>
        <w:t xml:space="preserve">apartment building on the cultural heritage significance of the Place, </w:t>
      </w:r>
      <w:proofErr w:type="spellStart"/>
      <w:r w:rsidR="00AD5F42">
        <w:rPr>
          <w:sz w:val="22"/>
          <w:szCs w:val="22"/>
        </w:rPr>
        <w:t>neighbouring</w:t>
      </w:r>
      <w:proofErr w:type="spellEnd"/>
      <w:r w:rsidR="00AD5F42">
        <w:rPr>
          <w:sz w:val="22"/>
          <w:szCs w:val="22"/>
        </w:rPr>
        <w:t xml:space="preserve"> properties and the South Fitzroy heritage precinct</w:t>
      </w:r>
      <w:r w:rsidR="00300019">
        <w:rPr>
          <w:sz w:val="22"/>
          <w:szCs w:val="22"/>
        </w:rPr>
        <w:t>. Key concerns raised included that:</w:t>
      </w:r>
    </w:p>
    <w:p w14:paraId="37EA270F" w14:textId="7C7EFDB4" w:rsidR="00F17A54" w:rsidRDefault="00F17A54" w:rsidP="000411B7">
      <w:pPr>
        <w:pStyle w:val="BP2"/>
        <w:numPr>
          <w:ilvl w:val="0"/>
          <w:numId w:val="42"/>
        </w:numPr>
        <w:ind w:left="993" w:hanging="426"/>
        <w:rPr>
          <w:sz w:val="22"/>
          <w:szCs w:val="22"/>
        </w:rPr>
      </w:pPr>
      <w:bookmarkStart w:id="15" w:name="_Hlk11649155"/>
      <w:r>
        <w:rPr>
          <w:sz w:val="22"/>
          <w:szCs w:val="22"/>
        </w:rPr>
        <w:t>the apartment building w</w:t>
      </w:r>
      <w:r w:rsidR="009F3ADB">
        <w:rPr>
          <w:sz w:val="22"/>
          <w:szCs w:val="22"/>
        </w:rPr>
        <w:t>ould</w:t>
      </w:r>
      <w:r>
        <w:rPr>
          <w:sz w:val="22"/>
          <w:szCs w:val="22"/>
        </w:rPr>
        <w:t xml:space="preserve"> visually dominate the Main House, particularly when viewed from Brunswick Street and from the upper levels of surrounding tall buildings;</w:t>
      </w:r>
    </w:p>
    <w:bookmarkEnd w:id="15"/>
    <w:p w14:paraId="2CE94005" w14:textId="0CD8B431" w:rsidR="00F17A54" w:rsidRDefault="00F17A54" w:rsidP="000411B7">
      <w:pPr>
        <w:pStyle w:val="BP2"/>
        <w:numPr>
          <w:ilvl w:val="0"/>
          <w:numId w:val="42"/>
        </w:numPr>
        <w:ind w:left="993" w:hanging="426"/>
        <w:rPr>
          <w:sz w:val="22"/>
          <w:szCs w:val="22"/>
        </w:rPr>
      </w:pPr>
      <w:r>
        <w:rPr>
          <w:sz w:val="22"/>
          <w:szCs w:val="22"/>
        </w:rPr>
        <w:t>the apartment building w</w:t>
      </w:r>
      <w:r w:rsidR="009F3ADB">
        <w:rPr>
          <w:sz w:val="22"/>
          <w:szCs w:val="22"/>
        </w:rPr>
        <w:t>ould</w:t>
      </w:r>
      <w:r>
        <w:rPr>
          <w:sz w:val="22"/>
          <w:szCs w:val="22"/>
        </w:rPr>
        <w:t xml:space="preserve"> be a significant visual intrusion when viewed from the rear yards of </w:t>
      </w:r>
      <w:proofErr w:type="spellStart"/>
      <w:r>
        <w:rPr>
          <w:sz w:val="22"/>
          <w:szCs w:val="22"/>
        </w:rPr>
        <w:t>neig</w:t>
      </w:r>
      <w:r w:rsidR="00EB2F82">
        <w:rPr>
          <w:sz w:val="22"/>
          <w:szCs w:val="22"/>
        </w:rPr>
        <w:t>h</w:t>
      </w:r>
      <w:r>
        <w:rPr>
          <w:sz w:val="22"/>
          <w:szCs w:val="22"/>
        </w:rPr>
        <w:t>bouring</w:t>
      </w:r>
      <w:proofErr w:type="spellEnd"/>
      <w:r>
        <w:rPr>
          <w:sz w:val="22"/>
          <w:szCs w:val="22"/>
        </w:rPr>
        <w:t xml:space="preserve"> properties or from the rear laneway;</w:t>
      </w:r>
    </w:p>
    <w:p w14:paraId="5048DBBE" w14:textId="785399C5" w:rsidR="00F17A54" w:rsidRDefault="00F17A54" w:rsidP="000411B7">
      <w:pPr>
        <w:pStyle w:val="BP2"/>
        <w:numPr>
          <w:ilvl w:val="0"/>
          <w:numId w:val="42"/>
        </w:numPr>
        <w:ind w:left="993" w:hanging="426"/>
        <w:rPr>
          <w:sz w:val="22"/>
          <w:szCs w:val="22"/>
        </w:rPr>
      </w:pPr>
      <w:r>
        <w:rPr>
          <w:sz w:val="22"/>
          <w:szCs w:val="22"/>
        </w:rPr>
        <w:t xml:space="preserve">because the apartment building is considerably taller </w:t>
      </w:r>
      <w:r w:rsidR="00A24DED">
        <w:rPr>
          <w:sz w:val="22"/>
          <w:szCs w:val="22"/>
        </w:rPr>
        <w:t xml:space="preserve">than </w:t>
      </w:r>
      <w:r>
        <w:rPr>
          <w:sz w:val="22"/>
          <w:szCs w:val="22"/>
        </w:rPr>
        <w:t>the Main House and predominantly two-</w:t>
      </w:r>
      <w:proofErr w:type="spellStart"/>
      <w:r>
        <w:rPr>
          <w:sz w:val="22"/>
          <w:szCs w:val="22"/>
        </w:rPr>
        <w:t>storey</w:t>
      </w:r>
      <w:proofErr w:type="spellEnd"/>
      <w:r>
        <w:rPr>
          <w:sz w:val="22"/>
          <w:szCs w:val="22"/>
        </w:rPr>
        <w:t xml:space="preserve"> Victorian</w:t>
      </w:r>
      <w:r w:rsidR="00B42DEC">
        <w:rPr>
          <w:sz w:val="22"/>
          <w:szCs w:val="22"/>
        </w:rPr>
        <w:t>-era</w:t>
      </w:r>
      <w:r>
        <w:rPr>
          <w:sz w:val="22"/>
          <w:szCs w:val="22"/>
        </w:rPr>
        <w:t xml:space="preserve"> buildings on the western side of Brunswick Street, it w</w:t>
      </w:r>
      <w:r w:rsidR="009F3ADB">
        <w:rPr>
          <w:sz w:val="22"/>
          <w:szCs w:val="22"/>
        </w:rPr>
        <w:t>ould</w:t>
      </w:r>
      <w:r>
        <w:rPr>
          <w:sz w:val="22"/>
          <w:szCs w:val="22"/>
        </w:rPr>
        <w:t xml:space="preserve"> unacceptably alter the character </w:t>
      </w:r>
      <w:r w:rsidR="00A24DED">
        <w:rPr>
          <w:sz w:val="22"/>
          <w:szCs w:val="22"/>
        </w:rPr>
        <w:t xml:space="preserve">and appearance </w:t>
      </w:r>
      <w:r>
        <w:rPr>
          <w:sz w:val="22"/>
          <w:szCs w:val="22"/>
        </w:rPr>
        <w:t>of the Place and its setting;</w:t>
      </w:r>
    </w:p>
    <w:p w14:paraId="74DA200B" w14:textId="1B967330" w:rsidR="00F17A54" w:rsidRDefault="00F17A54" w:rsidP="000411B7">
      <w:pPr>
        <w:pStyle w:val="BP2"/>
        <w:numPr>
          <w:ilvl w:val="0"/>
          <w:numId w:val="42"/>
        </w:numPr>
        <w:ind w:left="993" w:hanging="426"/>
        <w:rPr>
          <w:sz w:val="22"/>
          <w:szCs w:val="22"/>
        </w:rPr>
      </w:pPr>
      <w:r w:rsidRPr="00F17A54">
        <w:rPr>
          <w:sz w:val="22"/>
          <w:szCs w:val="22"/>
        </w:rPr>
        <w:t>the apartment building w</w:t>
      </w:r>
      <w:r w:rsidR="009F3ADB">
        <w:rPr>
          <w:sz w:val="22"/>
          <w:szCs w:val="22"/>
        </w:rPr>
        <w:t>ould</w:t>
      </w:r>
      <w:r w:rsidRPr="00F17A54">
        <w:rPr>
          <w:sz w:val="22"/>
          <w:szCs w:val="22"/>
        </w:rPr>
        <w:t xml:space="preserve"> set an undesirable precedent for similarly tall structures to be built in the rear yards of other heritage places within the South Fitzroy </w:t>
      </w:r>
      <w:r w:rsidR="00A24DED">
        <w:rPr>
          <w:sz w:val="22"/>
          <w:szCs w:val="22"/>
        </w:rPr>
        <w:t>heritage p</w:t>
      </w:r>
      <w:r w:rsidRPr="00F17A54">
        <w:rPr>
          <w:sz w:val="22"/>
          <w:szCs w:val="22"/>
        </w:rPr>
        <w:t>recinct</w:t>
      </w:r>
      <w:r w:rsidR="00DD5237">
        <w:rPr>
          <w:sz w:val="22"/>
          <w:szCs w:val="22"/>
        </w:rPr>
        <w:t>; and</w:t>
      </w:r>
    </w:p>
    <w:p w14:paraId="224DB2A8" w14:textId="200C50B2" w:rsidR="00DD5237" w:rsidRPr="00A24DED" w:rsidRDefault="00DD5237" w:rsidP="000411B7">
      <w:pPr>
        <w:pStyle w:val="BP2"/>
        <w:numPr>
          <w:ilvl w:val="0"/>
          <w:numId w:val="42"/>
        </w:numPr>
        <w:ind w:left="993" w:hanging="426"/>
        <w:rPr>
          <w:sz w:val="22"/>
          <w:szCs w:val="22"/>
        </w:rPr>
      </w:pPr>
      <w:r>
        <w:rPr>
          <w:sz w:val="22"/>
          <w:szCs w:val="22"/>
        </w:rPr>
        <w:t>the apartment building is disproportionate in height and scale when compared to the Rear Wing.</w:t>
      </w:r>
    </w:p>
    <w:p w14:paraId="2CAFF257" w14:textId="3E0A0B2D" w:rsidR="00F17A54" w:rsidRDefault="00EF2525" w:rsidP="000411B7">
      <w:pPr>
        <w:pStyle w:val="BP2"/>
        <w:numPr>
          <w:ilvl w:val="0"/>
          <w:numId w:val="3"/>
        </w:numPr>
        <w:tabs>
          <w:tab w:val="clear" w:pos="432"/>
          <w:tab w:val="left" w:pos="709"/>
        </w:tabs>
        <w:ind w:left="567" w:hanging="567"/>
        <w:rPr>
          <w:sz w:val="22"/>
          <w:szCs w:val="22"/>
        </w:rPr>
      </w:pPr>
      <w:r>
        <w:rPr>
          <w:sz w:val="22"/>
          <w:szCs w:val="22"/>
        </w:rPr>
        <w:t xml:space="preserve">Relying on the evidence of its expert witnesses, the </w:t>
      </w:r>
      <w:r w:rsidR="00A24DED">
        <w:rPr>
          <w:sz w:val="22"/>
          <w:szCs w:val="22"/>
        </w:rPr>
        <w:t xml:space="preserve">Permit Applicant </w:t>
      </w:r>
      <w:r>
        <w:rPr>
          <w:sz w:val="22"/>
          <w:szCs w:val="22"/>
        </w:rPr>
        <w:t xml:space="preserve">submitted that the </w:t>
      </w:r>
      <w:r w:rsidR="00302301">
        <w:rPr>
          <w:sz w:val="22"/>
          <w:szCs w:val="22"/>
        </w:rPr>
        <w:t xml:space="preserve">proposed </w:t>
      </w:r>
      <w:r>
        <w:rPr>
          <w:sz w:val="22"/>
          <w:szCs w:val="22"/>
        </w:rPr>
        <w:t>apartment building w</w:t>
      </w:r>
      <w:r w:rsidR="009F3ADB">
        <w:rPr>
          <w:sz w:val="22"/>
          <w:szCs w:val="22"/>
        </w:rPr>
        <w:t>ould</w:t>
      </w:r>
      <w:r>
        <w:rPr>
          <w:sz w:val="22"/>
          <w:szCs w:val="22"/>
        </w:rPr>
        <w:t xml:space="preserve"> not have a detrimental impact on the cultural heritage significance of the Place</w:t>
      </w:r>
      <w:r w:rsidR="00197015">
        <w:rPr>
          <w:sz w:val="22"/>
          <w:szCs w:val="22"/>
        </w:rPr>
        <w:t>.</w:t>
      </w:r>
    </w:p>
    <w:p w14:paraId="4203AB1A" w14:textId="46402EA9" w:rsidR="00F830A9" w:rsidRDefault="00452CDB"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gave evidence t</w:t>
      </w:r>
      <w:r w:rsidR="00126223">
        <w:rPr>
          <w:sz w:val="22"/>
          <w:szCs w:val="22"/>
        </w:rPr>
        <w:t>h</w:t>
      </w:r>
      <w:r w:rsidR="00602537">
        <w:rPr>
          <w:sz w:val="22"/>
          <w:szCs w:val="22"/>
        </w:rPr>
        <w:t>at the</w:t>
      </w:r>
      <w:r w:rsidR="00126223">
        <w:rPr>
          <w:sz w:val="22"/>
          <w:szCs w:val="22"/>
        </w:rPr>
        <w:t xml:space="preserve"> apartment building w</w:t>
      </w:r>
      <w:r w:rsidR="00AA1B52">
        <w:rPr>
          <w:sz w:val="22"/>
          <w:szCs w:val="22"/>
        </w:rPr>
        <w:t>ould</w:t>
      </w:r>
      <w:r w:rsidR="00126223">
        <w:rPr>
          <w:sz w:val="22"/>
          <w:szCs w:val="22"/>
        </w:rPr>
        <w:t xml:space="preserve"> not result in a substantial change to the visual setting of the Place because the Main House is already viewed against </w:t>
      </w:r>
      <w:r w:rsidR="00F830A9">
        <w:rPr>
          <w:sz w:val="22"/>
          <w:szCs w:val="22"/>
        </w:rPr>
        <w:t>a</w:t>
      </w:r>
      <w:r w:rsidR="00126223">
        <w:rPr>
          <w:sz w:val="22"/>
          <w:szCs w:val="22"/>
        </w:rPr>
        <w:t xml:space="preserve"> backdrop </w:t>
      </w:r>
      <w:r w:rsidR="00F830A9">
        <w:rPr>
          <w:sz w:val="22"/>
          <w:szCs w:val="22"/>
        </w:rPr>
        <w:t xml:space="preserve">of substantial built form, including the </w:t>
      </w:r>
      <w:r w:rsidR="00126223">
        <w:rPr>
          <w:sz w:val="22"/>
          <w:szCs w:val="22"/>
        </w:rPr>
        <w:t>eight-</w:t>
      </w:r>
      <w:proofErr w:type="spellStart"/>
      <w:r w:rsidR="00126223">
        <w:rPr>
          <w:sz w:val="22"/>
          <w:szCs w:val="22"/>
        </w:rPr>
        <w:t>storey</w:t>
      </w:r>
      <w:proofErr w:type="spellEnd"/>
      <w:r w:rsidR="00126223">
        <w:rPr>
          <w:sz w:val="22"/>
          <w:szCs w:val="22"/>
        </w:rPr>
        <w:t xml:space="preserve"> carpark to </w:t>
      </w:r>
      <w:r w:rsidR="00197015">
        <w:rPr>
          <w:sz w:val="22"/>
          <w:szCs w:val="22"/>
        </w:rPr>
        <w:t xml:space="preserve">the west. </w:t>
      </w:r>
      <w:r w:rsidR="00F830A9">
        <w:rPr>
          <w:sz w:val="22"/>
          <w:szCs w:val="22"/>
        </w:rPr>
        <w:t xml:space="preserve">In oral evidence, </w:t>
      </w:r>
      <w:proofErr w:type="spellStart"/>
      <w:r w:rsidR="00AA1B52">
        <w:rPr>
          <w:sz w:val="22"/>
          <w:szCs w:val="22"/>
        </w:rPr>
        <w:t>Mr</w:t>
      </w:r>
      <w:proofErr w:type="spellEnd"/>
      <w:r w:rsidR="00AA1B52">
        <w:rPr>
          <w:sz w:val="22"/>
          <w:szCs w:val="22"/>
        </w:rPr>
        <w:t xml:space="preserve"> </w:t>
      </w:r>
      <w:proofErr w:type="spellStart"/>
      <w:r w:rsidR="00AA1B52">
        <w:rPr>
          <w:sz w:val="22"/>
          <w:szCs w:val="22"/>
        </w:rPr>
        <w:t>Raworth</w:t>
      </w:r>
      <w:proofErr w:type="spellEnd"/>
      <w:r w:rsidR="00F830A9">
        <w:rPr>
          <w:sz w:val="22"/>
          <w:szCs w:val="22"/>
        </w:rPr>
        <w:t xml:space="preserve"> </w:t>
      </w:r>
      <w:r w:rsidR="009236CA">
        <w:rPr>
          <w:sz w:val="22"/>
          <w:szCs w:val="22"/>
        </w:rPr>
        <w:t xml:space="preserve">also </w:t>
      </w:r>
      <w:r w:rsidR="00F830A9">
        <w:rPr>
          <w:sz w:val="22"/>
          <w:szCs w:val="22"/>
        </w:rPr>
        <w:t xml:space="preserve">noted that the </w:t>
      </w:r>
      <w:r w:rsidR="00AA1B52">
        <w:rPr>
          <w:sz w:val="22"/>
          <w:szCs w:val="22"/>
        </w:rPr>
        <w:t xml:space="preserve">Place is located within a </w:t>
      </w:r>
      <w:r w:rsidR="009F3ADB">
        <w:rPr>
          <w:sz w:val="22"/>
          <w:szCs w:val="22"/>
        </w:rPr>
        <w:t xml:space="preserve">section of </w:t>
      </w:r>
      <w:r w:rsidR="00F830A9">
        <w:rPr>
          <w:sz w:val="22"/>
          <w:szCs w:val="22"/>
        </w:rPr>
        <w:t xml:space="preserve">Brunswick Street </w:t>
      </w:r>
      <w:r w:rsidR="00AA1B52">
        <w:rPr>
          <w:sz w:val="22"/>
          <w:szCs w:val="22"/>
        </w:rPr>
        <w:t>that</w:t>
      </w:r>
      <w:r w:rsidR="009F3ADB">
        <w:rPr>
          <w:sz w:val="22"/>
          <w:szCs w:val="22"/>
        </w:rPr>
        <w:t xml:space="preserve"> </w:t>
      </w:r>
      <w:r w:rsidR="00F830A9">
        <w:rPr>
          <w:sz w:val="22"/>
          <w:szCs w:val="22"/>
        </w:rPr>
        <w:t xml:space="preserve">has changed significantly over </w:t>
      </w:r>
      <w:r w:rsidR="00F830A9">
        <w:rPr>
          <w:sz w:val="22"/>
          <w:szCs w:val="22"/>
        </w:rPr>
        <w:lastRenderedPageBreak/>
        <w:t xml:space="preserve">time and </w:t>
      </w:r>
      <w:r w:rsidR="009F3ADB">
        <w:rPr>
          <w:sz w:val="22"/>
          <w:szCs w:val="22"/>
        </w:rPr>
        <w:t>includes a mixture of</w:t>
      </w:r>
      <w:r w:rsidR="000B52C3">
        <w:rPr>
          <w:sz w:val="22"/>
          <w:szCs w:val="22"/>
        </w:rPr>
        <w:t xml:space="preserve"> </w:t>
      </w:r>
      <w:r w:rsidR="009F3ADB">
        <w:rPr>
          <w:sz w:val="22"/>
          <w:szCs w:val="22"/>
        </w:rPr>
        <w:t xml:space="preserve">older smaller-scale buildings near large new </w:t>
      </w:r>
      <w:r w:rsidR="00F830A9">
        <w:rPr>
          <w:sz w:val="22"/>
          <w:szCs w:val="22"/>
        </w:rPr>
        <w:t>buildings.</w:t>
      </w:r>
    </w:p>
    <w:p w14:paraId="1C31FB10" w14:textId="33A1A0C5" w:rsidR="009A45C2" w:rsidRDefault="00197015"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w:t>
      </w:r>
      <w:r w:rsidR="005807E3">
        <w:rPr>
          <w:sz w:val="22"/>
          <w:szCs w:val="22"/>
        </w:rPr>
        <w:t>acknowledg</w:t>
      </w:r>
      <w:r>
        <w:rPr>
          <w:sz w:val="22"/>
          <w:szCs w:val="22"/>
        </w:rPr>
        <w:t>ed</w:t>
      </w:r>
      <w:r w:rsidR="005807E3">
        <w:rPr>
          <w:sz w:val="22"/>
          <w:szCs w:val="22"/>
        </w:rPr>
        <w:t xml:space="preserve"> that the apartment building </w:t>
      </w:r>
      <w:r w:rsidR="009F3ADB">
        <w:rPr>
          <w:sz w:val="22"/>
          <w:szCs w:val="22"/>
        </w:rPr>
        <w:t>would be</w:t>
      </w:r>
      <w:r>
        <w:rPr>
          <w:sz w:val="22"/>
          <w:szCs w:val="22"/>
        </w:rPr>
        <w:t xml:space="preserve"> </w:t>
      </w:r>
      <w:r w:rsidR="005807E3">
        <w:rPr>
          <w:sz w:val="22"/>
          <w:szCs w:val="22"/>
        </w:rPr>
        <w:t xml:space="preserve">closer to the Place than </w:t>
      </w:r>
      <w:r>
        <w:rPr>
          <w:sz w:val="22"/>
          <w:szCs w:val="22"/>
        </w:rPr>
        <w:t>the carpark</w:t>
      </w:r>
      <w:r w:rsidR="00700F9C">
        <w:rPr>
          <w:sz w:val="22"/>
          <w:szCs w:val="22"/>
        </w:rPr>
        <w:t xml:space="preserve"> to the west</w:t>
      </w:r>
      <w:r w:rsidR="009F3ADB">
        <w:rPr>
          <w:sz w:val="22"/>
          <w:szCs w:val="22"/>
        </w:rPr>
        <w:t>. However,</w:t>
      </w:r>
      <w:r w:rsidR="00F830A9">
        <w:rPr>
          <w:sz w:val="22"/>
          <w:szCs w:val="22"/>
        </w:rPr>
        <w:t xml:space="preserve"> </w:t>
      </w:r>
      <w:r>
        <w:rPr>
          <w:sz w:val="22"/>
          <w:szCs w:val="22"/>
        </w:rPr>
        <w:t xml:space="preserve">he </w:t>
      </w:r>
      <w:r w:rsidR="005807E3">
        <w:rPr>
          <w:sz w:val="22"/>
          <w:szCs w:val="22"/>
        </w:rPr>
        <w:t xml:space="preserve">was </w:t>
      </w:r>
      <w:r>
        <w:rPr>
          <w:sz w:val="22"/>
          <w:szCs w:val="22"/>
        </w:rPr>
        <w:t>satisfied that the Main House w</w:t>
      </w:r>
      <w:r w:rsidR="009F3ADB">
        <w:rPr>
          <w:sz w:val="22"/>
          <w:szCs w:val="22"/>
        </w:rPr>
        <w:t>ould</w:t>
      </w:r>
      <w:r>
        <w:rPr>
          <w:sz w:val="22"/>
          <w:szCs w:val="22"/>
        </w:rPr>
        <w:t xml:space="preserve"> read as a separate building because it </w:t>
      </w:r>
      <w:r w:rsidR="009F3ADB">
        <w:rPr>
          <w:sz w:val="22"/>
          <w:szCs w:val="22"/>
        </w:rPr>
        <w:t>would</w:t>
      </w:r>
      <w:r>
        <w:rPr>
          <w:sz w:val="22"/>
          <w:szCs w:val="22"/>
        </w:rPr>
        <w:t xml:space="preserve"> be physically separated from the upper levels of the apartment building.</w:t>
      </w:r>
    </w:p>
    <w:p w14:paraId="06E9DAD8" w14:textId="25E20B73" w:rsidR="00452CDB" w:rsidRDefault="00F830A9" w:rsidP="000411B7">
      <w:pPr>
        <w:pStyle w:val="BP2"/>
        <w:numPr>
          <w:ilvl w:val="0"/>
          <w:numId w:val="3"/>
        </w:numPr>
        <w:tabs>
          <w:tab w:val="clear" w:pos="432"/>
          <w:tab w:val="left" w:pos="709"/>
        </w:tabs>
        <w:ind w:left="567" w:hanging="567"/>
        <w:rPr>
          <w:sz w:val="22"/>
          <w:szCs w:val="22"/>
        </w:rPr>
      </w:pPr>
      <w:r>
        <w:rPr>
          <w:sz w:val="22"/>
          <w:szCs w:val="22"/>
        </w:rPr>
        <w:t xml:space="preserve">In relation to views, </w:t>
      </w: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w:t>
      </w:r>
      <w:r w:rsidR="00AA1B52">
        <w:rPr>
          <w:sz w:val="22"/>
          <w:szCs w:val="22"/>
        </w:rPr>
        <w:t>acknowledged</w:t>
      </w:r>
      <w:r>
        <w:rPr>
          <w:sz w:val="22"/>
          <w:szCs w:val="22"/>
        </w:rPr>
        <w:t xml:space="preserve"> that </w:t>
      </w:r>
      <w:r w:rsidR="00602537">
        <w:rPr>
          <w:sz w:val="22"/>
          <w:szCs w:val="22"/>
        </w:rPr>
        <w:t>the apartment building w</w:t>
      </w:r>
      <w:r w:rsidR="00AA1B52">
        <w:rPr>
          <w:sz w:val="22"/>
          <w:szCs w:val="22"/>
        </w:rPr>
        <w:t>ould</w:t>
      </w:r>
      <w:r w:rsidR="00602537">
        <w:rPr>
          <w:sz w:val="22"/>
          <w:szCs w:val="22"/>
        </w:rPr>
        <w:t xml:space="preserve"> be </w:t>
      </w:r>
      <w:r w:rsidR="00A36F8C">
        <w:rPr>
          <w:sz w:val="22"/>
          <w:szCs w:val="22"/>
        </w:rPr>
        <w:t>partially visible from Brunswick Street in oblique views along Brunswick Street from the north</w:t>
      </w:r>
      <w:r w:rsidR="009236CA">
        <w:rPr>
          <w:sz w:val="22"/>
          <w:szCs w:val="22"/>
        </w:rPr>
        <w:t>-</w:t>
      </w:r>
      <w:r w:rsidR="00A36F8C">
        <w:rPr>
          <w:sz w:val="22"/>
          <w:szCs w:val="22"/>
        </w:rPr>
        <w:t>east and south</w:t>
      </w:r>
      <w:r w:rsidR="009236CA">
        <w:rPr>
          <w:sz w:val="22"/>
          <w:szCs w:val="22"/>
        </w:rPr>
        <w:t>-</w:t>
      </w:r>
      <w:r w:rsidR="00A36F8C">
        <w:rPr>
          <w:sz w:val="22"/>
          <w:szCs w:val="22"/>
        </w:rPr>
        <w:t xml:space="preserve">east, but not from directly in front of the Subject Site. </w:t>
      </w:r>
      <w:r w:rsidR="00700F9C">
        <w:rPr>
          <w:sz w:val="22"/>
          <w:szCs w:val="22"/>
        </w:rPr>
        <w:t>In his opinion, while the apartment building w</w:t>
      </w:r>
      <w:r w:rsidR="00AA1B52">
        <w:rPr>
          <w:sz w:val="22"/>
          <w:szCs w:val="22"/>
        </w:rPr>
        <w:t>ould</w:t>
      </w:r>
      <w:r w:rsidR="00700F9C">
        <w:rPr>
          <w:sz w:val="22"/>
          <w:szCs w:val="22"/>
        </w:rPr>
        <w:t xml:space="preserve"> result in a change to the setting of the Place, </w:t>
      </w:r>
      <w:r w:rsidR="00377BCF">
        <w:rPr>
          <w:sz w:val="22"/>
          <w:szCs w:val="22"/>
        </w:rPr>
        <w:t xml:space="preserve">this </w:t>
      </w:r>
      <w:r w:rsidR="00AA1B52">
        <w:rPr>
          <w:sz w:val="22"/>
          <w:szCs w:val="22"/>
        </w:rPr>
        <w:t>change would</w:t>
      </w:r>
      <w:r w:rsidR="00377BCF">
        <w:rPr>
          <w:sz w:val="22"/>
          <w:szCs w:val="22"/>
        </w:rPr>
        <w:t xml:space="preserve"> not </w:t>
      </w:r>
      <w:r w:rsidR="00AA1B52">
        <w:rPr>
          <w:sz w:val="22"/>
          <w:szCs w:val="22"/>
        </w:rPr>
        <w:t xml:space="preserve">be </w:t>
      </w:r>
      <w:r w:rsidR="00377BCF">
        <w:rPr>
          <w:sz w:val="22"/>
          <w:szCs w:val="22"/>
        </w:rPr>
        <w:t xml:space="preserve">detrimental </w:t>
      </w:r>
      <w:r w:rsidR="00700F9C">
        <w:rPr>
          <w:sz w:val="22"/>
          <w:szCs w:val="22"/>
        </w:rPr>
        <w:t xml:space="preserve">given the context within which </w:t>
      </w:r>
      <w:r w:rsidR="00377BCF">
        <w:rPr>
          <w:sz w:val="22"/>
          <w:szCs w:val="22"/>
        </w:rPr>
        <w:t>the Place</w:t>
      </w:r>
      <w:r w:rsidR="00700F9C">
        <w:rPr>
          <w:sz w:val="22"/>
          <w:szCs w:val="22"/>
        </w:rPr>
        <w:t xml:space="preserve"> is presently viewed. As to existing views of the Place from the rear laneway, </w:t>
      </w:r>
      <w:proofErr w:type="spellStart"/>
      <w:r w:rsidR="00700F9C">
        <w:rPr>
          <w:sz w:val="22"/>
          <w:szCs w:val="22"/>
        </w:rPr>
        <w:t>Mr</w:t>
      </w:r>
      <w:proofErr w:type="spellEnd"/>
      <w:r w:rsidR="00700F9C">
        <w:rPr>
          <w:sz w:val="22"/>
          <w:szCs w:val="22"/>
        </w:rPr>
        <w:t xml:space="preserve"> </w:t>
      </w:r>
      <w:proofErr w:type="spellStart"/>
      <w:r w:rsidR="00700F9C">
        <w:rPr>
          <w:sz w:val="22"/>
          <w:szCs w:val="22"/>
        </w:rPr>
        <w:t>Raworth</w:t>
      </w:r>
      <w:proofErr w:type="spellEnd"/>
      <w:r w:rsidR="00700F9C">
        <w:rPr>
          <w:sz w:val="22"/>
          <w:szCs w:val="22"/>
        </w:rPr>
        <w:t xml:space="preserve"> considered these to be minor views because they do not allow the observer to appreciate the </w:t>
      </w:r>
      <w:r w:rsidR="00377BCF">
        <w:rPr>
          <w:sz w:val="22"/>
          <w:szCs w:val="22"/>
        </w:rPr>
        <w:t xml:space="preserve">key </w:t>
      </w:r>
      <w:r w:rsidR="00700F9C">
        <w:rPr>
          <w:sz w:val="22"/>
          <w:szCs w:val="22"/>
        </w:rPr>
        <w:t xml:space="preserve">elements that contribute to the architectural and </w:t>
      </w:r>
      <w:r w:rsidR="00377BCF">
        <w:rPr>
          <w:sz w:val="22"/>
          <w:szCs w:val="22"/>
        </w:rPr>
        <w:t>historical significance of the Place (namely the architectural details and grand proportions of the Main House).</w:t>
      </w:r>
    </w:p>
    <w:p w14:paraId="57946046" w14:textId="15F9791A" w:rsidR="00F74136" w:rsidRDefault="00482598" w:rsidP="000411B7">
      <w:pPr>
        <w:pStyle w:val="BP2"/>
        <w:numPr>
          <w:ilvl w:val="0"/>
          <w:numId w:val="3"/>
        </w:numPr>
        <w:tabs>
          <w:tab w:val="clear" w:pos="432"/>
          <w:tab w:val="left" w:pos="709"/>
        </w:tabs>
        <w:ind w:left="567" w:hanging="567"/>
        <w:rPr>
          <w:sz w:val="22"/>
          <w:szCs w:val="22"/>
        </w:rPr>
      </w:pPr>
      <w:proofErr w:type="spellStart"/>
      <w:r>
        <w:rPr>
          <w:sz w:val="22"/>
          <w:szCs w:val="22"/>
        </w:rPr>
        <w:t>Ms</w:t>
      </w:r>
      <w:proofErr w:type="spellEnd"/>
      <w:r>
        <w:rPr>
          <w:sz w:val="22"/>
          <w:szCs w:val="22"/>
        </w:rPr>
        <w:t xml:space="preserve"> Gray </w:t>
      </w:r>
      <w:r w:rsidR="00005AB1">
        <w:rPr>
          <w:sz w:val="22"/>
          <w:szCs w:val="22"/>
        </w:rPr>
        <w:t xml:space="preserve">also </w:t>
      </w:r>
      <w:r w:rsidR="00023324">
        <w:rPr>
          <w:sz w:val="22"/>
          <w:szCs w:val="22"/>
        </w:rPr>
        <w:t xml:space="preserve">gave evidence </w:t>
      </w:r>
      <w:r w:rsidR="00005AB1">
        <w:rPr>
          <w:sz w:val="22"/>
          <w:szCs w:val="22"/>
        </w:rPr>
        <w:t>about the</w:t>
      </w:r>
      <w:r w:rsidR="00023324">
        <w:rPr>
          <w:sz w:val="22"/>
          <w:szCs w:val="22"/>
        </w:rPr>
        <w:t xml:space="preserve"> visual impact of the apartment building</w:t>
      </w:r>
      <w:r w:rsidR="00005AB1">
        <w:rPr>
          <w:sz w:val="22"/>
          <w:szCs w:val="22"/>
        </w:rPr>
        <w:t xml:space="preserve"> </w:t>
      </w:r>
      <w:r w:rsidR="00F74136">
        <w:rPr>
          <w:sz w:val="22"/>
          <w:szCs w:val="22"/>
        </w:rPr>
        <w:t>on the Place and surrounding heritage buildings</w:t>
      </w:r>
      <w:r w:rsidR="00005AB1">
        <w:rPr>
          <w:sz w:val="22"/>
          <w:szCs w:val="22"/>
        </w:rPr>
        <w:t>.</w:t>
      </w:r>
      <w:r w:rsidR="00023324">
        <w:rPr>
          <w:sz w:val="22"/>
          <w:szCs w:val="22"/>
        </w:rPr>
        <w:t xml:space="preserve"> </w:t>
      </w:r>
      <w:proofErr w:type="spellStart"/>
      <w:r w:rsidR="00F74136">
        <w:rPr>
          <w:sz w:val="22"/>
          <w:szCs w:val="22"/>
        </w:rPr>
        <w:t>Ms</w:t>
      </w:r>
      <w:proofErr w:type="spellEnd"/>
      <w:r w:rsidR="00F74136">
        <w:rPr>
          <w:sz w:val="22"/>
          <w:szCs w:val="22"/>
        </w:rPr>
        <w:t xml:space="preserve"> Gray accepted that the western side of Brunswick Street has a strong heritage character and sensitivity deriving from its nineteenth century building stock. In her view, retaining the primacy and cohesiveness of the Place and </w:t>
      </w:r>
      <w:proofErr w:type="spellStart"/>
      <w:r w:rsidR="00F74136">
        <w:rPr>
          <w:sz w:val="22"/>
          <w:szCs w:val="22"/>
        </w:rPr>
        <w:t>neighbouring</w:t>
      </w:r>
      <w:proofErr w:type="spellEnd"/>
      <w:r w:rsidR="00F74136">
        <w:rPr>
          <w:sz w:val="22"/>
          <w:szCs w:val="22"/>
        </w:rPr>
        <w:t xml:space="preserve"> heritage buildings within Brunswick Street </w:t>
      </w:r>
      <w:r w:rsidR="00C31313">
        <w:rPr>
          <w:sz w:val="22"/>
          <w:szCs w:val="22"/>
        </w:rPr>
        <w:t>is</w:t>
      </w:r>
      <w:r w:rsidR="00F74136">
        <w:rPr>
          <w:sz w:val="22"/>
          <w:szCs w:val="22"/>
        </w:rPr>
        <w:t xml:space="preserve"> </w:t>
      </w:r>
      <w:r w:rsidR="00C31313">
        <w:rPr>
          <w:sz w:val="22"/>
          <w:szCs w:val="22"/>
        </w:rPr>
        <w:t>the key heritage issue to be considered.</w:t>
      </w:r>
    </w:p>
    <w:p w14:paraId="58FA6B6E" w14:textId="51E4DF0B" w:rsidR="00783021" w:rsidRDefault="009E1880" w:rsidP="000411B7">
      <w:pPr>
        <w:pStyle w:val="BP2"/>
        <w:numPr>
          <w:ilvl w:val="0"/>
          <w:numId w:val="3"/>
        </w:numPr>
        <w:tabs>
          <w:tab w:val="clear" w:pos="432"/>
          <w:tab w:val="left" w:pos="709"/>
        </w:tabs>
        <w:ind w:left="567" w:hanging="567"/>
        <w:rPr>
          <w:sz w:val="22"/>
          <w:szCs w:val="22"/>
        </w:rPr>
      </w:pPr>
      <w:r>
        <w:rPr>
          <w:sz w:val="22"/>
          <w:szCs w:val="22"/>
        </w:rPr>
        <w:t xml:space="preserve">In </w:t>
      </w:r>
      <w:r w:rsidR="00D318B1">
        <w:rPr>
          <w:sz w:val="22"/>
          <w:szCs w:val="22"/>
        </w:rPr>
        <w:t>relation to views of the Place from Brunswick Street</w:t>
      </w:r>
      <w:r>
        <w:rPr>
          <w:sz w:val="22"/>
          <w:szCs w:val="22"/>
        </w:rPr>
        <w:t>,</w:t>
      </w:r>
      <w:r w:rsidR="00023324">
        <w:rPr>
          <w:sz w:val="22"/>
          <w:szCs w:val="22"/>
        </w:rPr>
        <w:t xml:space="preserve"> </w:t>
      </w:r>
      <w:r>
        <w:rPr>
          <w:sz w:val="22"/>
          <w:szCs w:val="22"/>
        </w:rPr>
        <w:t xml:space="preserve">it </w:t>
      </w:r>
      <w:r w:rsidR="00F74136">
        <w:rPr>
          <w:sz w:val="22"/>
          <w:szCs w:val="22"/>
        </w:rPr>
        <w:t xml:space="preserve">was </w:t>
      </w:r>
      <w:proofErr w:type="spellStart"/>
      <w:r w:rsidR="00F74136">
        <w:rPr>
          <w:sz w:val="22"/>
          <w:szCs w:val="22"/>
        </w:rPr>
        <w:t>Ms</w:t>
      </w:r>
      <w:proofErr w:type="spellEnd"/>
      <w:r w:rsidR="00F74136">
        <w:rPr>
          <w:sz w:val="22"/>
          <w:szCs w:val="22"/>
        </w:rPr>
        <w:t xml:space="preserve"> Gray’s</w:t>
      </w:r>
      <w:r>
        <w:rPr>
          <w:sz w:val="22"/>
          <w:szCs w:val="22"/>
        </w:rPr>
        <w:t xml:space="preserve"> </w:t>
      </w:r>
      <w:r w:rsidR="00023324">
        <w:rPr>
          <w:sz w:val="22"/>
          <w:szCs w:val="22"/>
        </w:rPr>
        <w:t>opinion</w:t>
      </w:r>
      <w:r>
        <w:rPr>
          <w:sz w:val="22"/>
          <w:szCs w:val="22"/>
        </w:rPr>
        <w:t xml:space="preserve"> that</w:t>
      </w:r>
      <w:r w:rsidR="00783021">
        <w:rPr>
          <w:sz w:val="22"/>
          <w:szCs w:val="22"/>
        </w:rPr>
        <w:t>:</w:t>
      </w:r>
    </w:p>
    <w:p w14:paraId="5BD68138" w14:textId="0B9661F1" w:rsidR="00997363" w:rsidRDefault="00997363" w:rsidP="000411B7">
      <w:pPr>
        <w:pStyle w:val="BP2"/>
        <w:numPr>
          <w:ilvl w:val="0"/>
          <w:numId w:val="45"/>
        </w:numPr>
        <w:ind w:left="993" w:hanging="426"/>
        <w:rPr>
          <w:sz w:val="22"/>
          <w:szCs w:val="22"/>
        </w:rPr>
      </w:pPr>
      <w:r>
        <w:rPr>
          <w:sz w:val="22"/>
          <w:szCs w:val="22"/>
        </w:rPr>
        <w:t>the visual impact of the apartment building w</w:t>
      </w:r>
      <w:r w:rsidR="009E1880">
        <w:rPr>
          <w:sz w:val="22"/>
          <w:szCs w:val="22"/>
        </w:rPr>
        <w:t>ould</w:t>
      </w:r>
      <w:r>
        <w:rPr>
          <w:sz w:val="22"/>
          <w:szCs w:val="22"/>
        </w:rPr>
        <w:t xml:space="preserve"> be </w:t>
      </w:r>
      <w:r w:rsidRPr="00783021">
        <w:rPr>
          <w:sz w:val="22"/>
          <w:szCs w:val="22"/>
        </w:rPr>
        <w:t>negligible when viewed directly from the east</w:t>
      </w:r>
      <w:r>
        <w:rPr>
          <w:sz w:val="22"/>
          <w:szCs w:val="22"/>
        </w:rPr>
        <w:t>;</w:t>
      </w:r>
    </w:p>
    <w:p w14:paraId="4F281929" w14:textId="0E42A3F4" w:rsidR="00997363" w:rsidRPr="00783021" w:rsidRDefault="00997363" w:rsidP="000411B7">
      <w:pPr>
        <w:pStyle w:val="BP2"/>
        <w:numPr>
          <w:ilvl w:val="0"/>
          <w:numId w:val="45"/>
        </w:numPr>
        <w:ind w:left="993" w:hanging="426"/>
        <w:rPr>
          <w:sz w:val="22"/>
          <w:szCs w:val="22"/>
        </w:rPr>
      </w:pPr>
      <w:r>
        <w:rPr>
          <w:sz w:val="22"/>
          <w:szCs w:val="22"/>
        </w:rPr>
        <w:t>the visual impact of the apartment build</w:t>
      </w:r>
      <w:r w:rsidR="00C31313">
        <w:rPr>
          <w:sz w:val="22"/>
          <w:szCs w:val="22"/>
        </w:rPr>
        <w:t xml:space="preserve">ing </w:t>
      </w:r>
      <w:r>
        <w:rPr>
          <w:sz w:val="22"/>
          <w:szCs w:val="22"/>
        </w:rPr>
        <w:t>w</w:t>
      </w:r>
      <w:r w:rsidR="009E1880">
        <w:rPr>
          <w:sz w:val="22"/>
          <w:szCs w:val="22"/>
        </w:rPr>
        <w:t>ould</w:t>
      </w:r>
      <w:r>
        <w:rPr>
          <w:sz w:val="22"/>
          <w:szCs w:val="22"/>
        </w:rPr>
        <w:t xml:space="preserve"> be acceptable when viewed </w:t>
      </w:r>
      <w:r w:rsidR="00C31313">
        <w:rPr>
          <w:sz w:val="22"/>
          <w:szCs w:val="22"/>
        </w:rPr>
        <w:t xml:space="preserve">in Brunswick Street </w:t>
      </w:r>
      <w:r>
        <w:rPr>
          <w:sz w:val="22"/>
          <w:szCs w:val="22"/>
        </w:rPr>
        <w:t>from the north-east because it w</w:t>
      </w:r>
      <w:r w:rsidR="009E1880">
        <w:rPr>
          <w:sz w:val="22"/>
          <w:szCs w:val="22"/>
        </w:rPr>
        <w:t>ould</w:t>
      </w:r>
      <w:r>
        <w:rPr>
          <w:sz w:val="22"/>
          <w:szCs w:val="22"/>
        </w:rPr>
        <w:t xml:space="preserve"> be viewed against a backdrop of existing tall built form; and</w:t>
      </w:r>
    </w:p>
    <w:p w14:paraId="19DAABAA" w14:textId="5AAFD103" w:rsidR="00997363" w:rsidRPr="00997363" w:rsidRDefault="00997363" w:rsidP="000411B7">
      <w:pPr>
        <w:pStyle w:val="BP2"/>
        <w:numPr>
          <w:ilvl w:val="0"/>
          <w:numId w:val="45"/>
        </w:numPr>
        <w:ind w:left="993" w:hanging="426"/>
        <w:rPr>
          <w:sz w:val="22"/>
          <w:szCs w:val="22"/>
        </w:rPr>
      </w:pPr>
      <w:r>
        <w:rPr>
          <w:sz w:val="22"/>
          <w:szCs w:val="22"/>
        </w:rPr>
        <w:t xml:space="preserve">the </w:t>
      </w:r>
      <w:r w:rsidRPr="00783021">
        <w:rPr>
          <w:sz w:val="22"/>
          <w:szCs w:val="22"/>
        </w:rPr>
        <w:t>most sensitive views are south-east of the Subject Sit</w:t>
      </w:r>
      <w:r>
        <w:rPr>
          <w:sz w:val="22"/>
          <w:szCs w:val="22"/>
        </w:rPr>
        <w:t xml:space="preserve">e (opposite </w:t>
      </w:r>
      <w:proofErr w:type="spellStart"/>
      <w:r>
        <w:rPr>
          <w:sz w:val="22"/>
          <w:szCs w:val="22"/>
        </w:rPr>
        <w:t>Dodgshun</w:t>
      </w:r>
      <w:proofErr w:type="spellEnd"/>
      <w:r>
        <w:rPr>
          <w:sz w:val="22"/>
          <w:szCs w:val="22"/>
        </w:rPr>
        <w:t xml:space="preserve"> House)</w:t>
      </w:r>
      <w:r w:rsidRPr="00783021">
        <w:rPr>
          <w:sz w:val="22"/>
          <w:szCs w:val="22"/>
        </w:rPr>
        <w:t>, where there are distinct gaps in the streetsca</w:t>
      </w:r>
      <w:r w:rsidR="002F6B1E">
        <w:rPr>
          <w:sz w:val="22"/>
          <w:szCs w:val="22"/>
        </w:rPr>
        <w:t>pe</w:t>
      </w:r>
      <w:r>
        <w:rPr>
          <w:sz w:val="22"/>
          <w:szCs w:val="22"/>
        </w:rPr>
        <w:t>.</w:t>
      </w:r>
      <w:r w:rsidR="00EE1715">
        <w:rPr>
          <w:sz w:val="22"/>
          <w:szCs w:val="22"/>
        </w:rPr>
        <w:t xml:space="preserve"> At these points, the differences in height and massing between the </w:t>
      </w:r>
      <w:r w:rsidR="00302301">
        <w:rPr>
          <w:sz w:val="22"/>
          <w:szCs w:val="22"/>
        </w:rPr>
        <w:t xml:space="preserve">apartment building and Main House </w:t>
      </w:r>
      <w:r w:rsidR="00EE1715">
        <w:rPr>
          <w:sz w:val="22"/>
          <w:szCs w:val="22"/>
        </w:rPr>
        <w:t>w</w:t>
      </w:r>
      <w:r w:rsidR="009E1880">
        <w:rPr>
          <w:sz w:val="22"/>
          <w:szCs w:val="22"/>
        </w:rPr>
        <w:t>ould</w:t>
      </w:r>
      <w:r w:rsidR="00EE1715">
        <w:rPr>
          <w:sz w:val="22"/>
          <w:szCs w:val="22"/>
        </w:rPr>
        <w:t xml:space="preserve"> be clearly visible</w:t>
      </w:r>
      <w:r w:rsidR="00C31313">
        <w:rPr>
          <w:sz w:val="22"/>
          <w:szCs w:val="22"/>
        </w:rPr>
        <w:t xml:space="preserve"> from Brunswick Street.</w:t>
      </w:r>
    </w:p>
    <w:p w14:paraId="1199FBAA" w14:textId="6CBBAD1C" w:rsidR="002F6B1E" w:rsidRPr="00F74136" w:rsidRDefault="009E1880" w:rsidP="000411B7">
      <w:pPr>
        <w:pStyle w:val="BP2"/>
        <w:numPr>
          <w:ilvl w:val="0"/>
          <w:numId w:val="3"/>
        </w:numPr>
        <w:tabs>
          <w:tab w:val="clear" w:pos="432"/>
          <w:tab w:val="left" w:pos="709"/>
        </w:tabs>
        <w:ind w:left="567" w:hanging="567"/>
        <w:rPr>
          <w:sz w:val="22"/>
          <w:szCs w:val="22"/>
        </w:rPr>
      </w:pPr>
      <w:proofErr w:type="spellStart"/>
      <w:r>
        <w:rPr>
          <w:sz w:val="22"/>
          <w:szCs w:val="22"/>
        </w:rPr>
        <w:t>Ms</w:t>
      </w:r>
      <w:proofErr w:type="spellEnd"/>
      <w:r>
        <w:rPr>
          <w:sz w:val="22"/>
          <w:szCs w:val="22"/>
        </w:rPr>
        <w:t xml:space="preserve"> Gray identified St. Vincent’s Private Hospital tower and the eight-</w:t>
      </w:r>
      <w:proofErr w:type="spellStart"/>
      <w:r>
        <w:rPr>
          <w:sz w:val="22"/>
          <w:szCs w:val="22"/>
        </w:rPr>
        <w:t>storey</w:t>
      </w:r>
      <w:proofErr w:type="spellEnd"/>
      <w:r>
        <w:rPr>
          <w:sz w:val="22"/>
          <w:szCs w:val="22"/>
        </w:rPr>
        <w:t xml:space="preserve"> car park as two buildings of substantial height and scale that would have a significant bearing on the way in which the apartment building would be viewed</w:t>
      </w:r>
      <w:r w:rsidR="00825726">
        <w:rPr>
          <w:sz w:val="22"/>
          <w:szCs w:val="22"/>
        </w:rPr>
        <w:t xml:space="preserve">. </w:t>
      </w:r>
      <w:proofErr w:type="spellStart"/>
      <w:r w:rsidR="002F6B1E" w:rsidRPr="00F74136">
        <w:rPr>
          <w:sz w:val="22"/>
          <w:szCs w:val="22"/>
        </w:rPr>
        <w:t>Ms</w:t>
      </w:r>
      <w:proofErr w:type="spellEnd"/>
      <w:r w:rsidR="002F6B1E" w:rsidRPr="00F74136">
        <w:rPr>
          <w:sz w:val="22"/>
          <w:szCs w:val="22"/>
        </w:rPr>
        <w:t xml:space="preserve"> Gray also </w:t>
      </w:r>
      <w:r w:rsidR="009236CA" w:rsidRPr="00F74136">
        <w:rPr>
          <w:sz w:val="22"/>
          <w:szCs w:val="22"/>
        </w:rPr>
        <w:t xml:space="preserve">noted that substantial development </w:t>
      </w:r>
      <w:r w:rsidR="00C31313">
        <w:rPr>
          <w:sz w:val="22"/>
          <w:szCs w:val="22"/>
        </w:rPr>
        <w:t xml:space="preserve">is planned for St. Vincent’s Hospital </w:t>
      </w:r>
      <w:r w:rsidR="009236CA" w:rsidRPr="00F74136">
        <w:rPr>
          <w:sz w:val="22"/>
          <w:szCs w:val="22"/>
        </w:rPr>
        <w:t xml:space="preserve">that will further alter the </w:t>
      </w:r>
      <w:r w:rsidR="00C31313">
        <w:rPr>
          <w:sz w:val="22"/>
          <w:szCs w:val="22"/>
        </w:rPr>
        <w:t xml:space="preserve">visual </w:t>
      </w:r>
      <w:r w:rsidR="009236CA" w:rsidRPr="00F74136">
        <w:rPr>
          <w:sz w:val="22"/>
          <w:szCs w:val="22"/>
        </w:rPr>
        <w:t xml:space="preserve">backdrop </w:t>
      </w:r>
      <w:r w:rsidR="00C31313">
        <w:rPr>
          <w:sz w:val="22"/>
          <w:szCs w:val="22"/>
        </w:rPr>
        <w:t>of</w:t>
      </w:r>
      <w:r w:rsidR="009236CA" w:rsidRPr="00F74136">
        <w:rPr>
          <w:sz w:val="22"/>
          <w:szCs w:val="22"/>
        </w:rPr>
        <w:t xml:space="preserve"> the Place. </w:t>
      </w:r>
      <w:r w:rsidR="00C31313">
        <w:rPr>
          <w:sz w:val="22"/>
          <w:szCs w:val="22"/>
        </w:rPr>
        <w:t>S</w:t>
      </w:r>
      <w:r w:rsidR="009236CA" w:rsidRPr="00F74136">
        <w:rPr>
          <w:sz w:val="22"/>
          <w:szCs w:val="22"/>
        </w:rPr>
        <w:t xml:space="preserve">he referred specifically to </w:t>
      </w:r>
      <w:r w:rsidR="002F6B1E" w:rsidRPr="00F74136">
        <w:rPr>
          <w:sz w:val="22"/>
          <w:szCs w:val="22"/>
        </w:rPr>
        <w:t xml:space="preserve">recent </w:t>
      </w:r>
      <w:r w:rsidR="009236CA" w:rsidRPr="00F74136">
        <w:rPr>
          <w:sz w:val="22"/>
          <w:szCs w:val="22"/>
        </w:rPr>
        <w:t>permits issued</w:t>
      </w:r>
      <w:r w:rsidR="002F6B1E" w:rsidRPr="00F74136">
        <w:rPr>
          <w:sz w:val="22"/>
          <w:szCs w:val="22"/>
        </w:rPr>
        <w:t xml:space="preserve"> by the Executive Director for </w:t>
      </w:r>
      <w:r w:rsidR="009236CA" w:rsidRPr="00F74136">
        <w:rPr>
          <w:sz w:val="22"/>
          <w:szCs w:val="22"/>
        </w:rPr>
        <w:t xml:space="preserve">the </w:t>
      </w:r>
      <w:r w:rsidR="002F6B1E" w:rsidRPr="00F74136">
        <w:rPr>
          <w:sz w:val="22"/>
          <w:szCs w:val="22"/>
        </w:rPr>
        <w:t xml:space="preserve">redevelopment of </w:t>
      </w:r>
      <w:proofErr w:type="spellStart"/>
      <w:proofErr w:type="gramStart"/>
      <w:r w:rsidR="002F6B1E" w:rsidRPr="00F74136">
        <w:rPr>
          <w:sz w:val="22"/>
          <w:szCs w:val="22"/>
        </w:rPr>
        <w:t>St.Vincent’s</w:t>
      </w:r>
      <w:proofErr w:type="spellEnd"/>
      <w:proofErr w:type="gramEnd"/>
      <w:r w:rsidR="002F6B1E" w:rsidRPr="00F74136">
        <w:rPr>
          <w:sz w:val="22"/>
          <w:szCs w:val="22"/>
        </w:rPr>
        <w:t xml:space="preserve"> Hospital</w:t>
      </w:r>
      <w:r w:rsidR="009236CA" w:rsidRPr="00F74136">
        <w:rPr>
          <w:sz w:val="22"/>
          <w:szCs w:val="22"/>
        </w:rPr>
        <w:t xml:space="preserve">, which </w:t>
      </w:r>
      <w:r w:rsidR="00D318B1">
        <w:rPr>
          <w:sz w:val="22"/>
          <w:szCs w:val="22"/>
        </w:rPr>
        <w:t>allow</w:t>
      </w:r>
      <w:r w:rsidR="002F6B1E" w:rsidRPr="00F74136">
        <w:rPr>
          <w:sz w:val="22"/>
          <w:szCs w:val="22"/>
        </w:rPr>
        <w:t xml:space="preserve"> the construction of a</w:t>
      </w:r>
      <w:r w:rsidR="009236CA" w:rsidRPr="00F74136">
        <w:rPr>
          <w:sz w:val="22"/>
          <w:szCs w:val="22"/>
        </w:rPr>
        <w:t xml:space="preserve">n </w:t>
      </w:r>
      <w:r w:rsidR="00F74136" w:rsidRPr="00F74136">
        <w:rPr>
          <w:sz w:val="22"/>
          <w:szCs w:val="22"/>
        </w:rPr>
        <w:t>11-</w:t>
      </w:r>
      <w:r w:rsidR="002F6B1E" w:rsidRPr="00F74136">
        <w:rPr>
          <w:sz w:val="22"/>
          <w:szCs w:val="22"/>
        </w:rPr>
        <w:t>storey building to the south-east of the Subject Site.</w:t>
      </w:r>
    </w:p>
    <w:p w14:paraId="354CA5A2" w14:textId="788F9455" w:rsidR="009236CA" w:rsidRPr="00D318B1" w:rsidRDefault="00F74136" w:rsidP="000411B7">
      <w:pPr>
        <w:pStyle w:val="BP2"/>
        <w:numPr>
          <w:ilvl w:val="0"/>
          <w:numId w:val="3"/>
        </w:numPr>
        <w:tabs>
          <w:tab w:val="clear" w:pos="432"/>
          <w:tab w:val="left" w:pos="709"/>
        </w:tabs>
        <w:ind w:left="567" w:hanging="567"/>
        <w:rPr>
          <w:sz w:val="22"/>
          <w:szCs w:val="22"/>
        </w:rPr>
      </w:pPr>
      <w:r>
        <w:rPr>
          <w:sz w:val="22"/>
          <w:szCs w:val="22"/>
        </w:rPr>
        <w:t xml:space="preserve">While </w:t>
      </w:r>
      <w:proofErr w:type="spellStart"/>
      <w:r>
        <w:rPr>
          <w:sz w:val="22"/>
          <w:szCs w:val="22"/>
        </w:rPr>
        <w:t>Ms</w:t>
      </w:r>
      <w:proofErr w:type="spellEnd"/>
      <w:r>
        <w:rPr>
          <w:sz w:val="22"/>
          <w:szCs w:val="22"/>
        </w:rPr>
        <w:t xml:space="preserve"> Gray acknowledged that th</w:t>
      </w:r>
      <w:r w:rsidR="00302301">
        <w:rPr>
          <w:sz w:val="22"/>
          <w:szCs w:val="22"/>
        </w:rPr>
        <w:t>e</w:t>
      </w:r>
      <w:r>
        <w:rPr>
          <w:sz w:val="22"/>
          <w:szCs w:val="22"/>
        </w:rPr>
        <w:t xml:space="preserve"> apartment building would be closer to the Place than these existing and proposed buildings, she was satisfied that </w:t>
      </w:r>
      <w:r w:rsidR="00C31313">
        <w:rPr>
          <w:sz w:val="22"/>
          <w:szCs w:val="22"/>
        </w:rPr>
        <w:t>it</w:t>
      </w:r>
      <w:r>
        <w:rPr>
          <w:sz w:val="22"/>
          <w:szCs w:val="22"/>
        </w:rPr>
        <w:t xml:space="preserve"> would appear as a backdrop element </w:t>
      </w:r>
      <w:r w:rsidR="00C31313">
        <w:rPr>
          <w:sz w:val="22"/>
          <w:szCs w:val="22"/>
        </w:rPr>
        <w:t xml:space="preserve">(particularly when viewed from the east and north-east) </w:t>
      </w:r>
      <w:r>
        <w:rPr>
          <w:sz w:val="22"/>
          <w:szCs w:val="22"/>
        </w:rPr>
        <w:t xml:space="preserve">and </w:t>
      </w:r>
      <w:r w:rsidR="00C31313">
        <w:rPr>
          <w:sz w:val="22"/>
          <w:szCs w:val="22"/>
        </w:rPr>
        <w:t>that the strong heritage character of this section of Brunswick Street would be retained</w:t>
      </w:r>
      <w:r>
        <w:rPr>
          <w:sz w:val="22"/>
          <w:szCs w:val="22"/>
        </w:rPr>
        <w:t>.</w:t>
      </w:r>
    </w:p>
    <w:p w14:paraId="503E9824" w14:textId="04131A28" w:rsidR="00997363" w:rsidRDefault="00BA3095" w:rsidP="000411B7">
      <w:pPr>
        <w:pStyle w:val="BP2"/>
        <w:numPr>
          <w:ilvl w:val="0"/>
          <w:numId w:val="3"/>
        </w:numPr>
        <w:tabs>
          <w:tab w:val="clear" w:pos="432"/>
          <w:tab w:val="left" w:pos="709"/>
        </w:tabs>
        <w:ind w:left="567" w:hanging="567"/>
        <w:rPr>
          <w:sz w:val="22"/>
          <w:szCs w:val="22"/>
        </w:rPr>
      </w:pPr>
      <w:r>
        <w:rPr>
          <w:sz w:val="22"/>
          <w:szCs w:val="22"/>
        </w:rPr>
        <w:t>However, t</w:t>
      </w:r>
      <w:r w:rsidR="00EE1715">
        <w:rPr>
          <w:sz w:val="22"/>
          <w:szCs w:val="22"/>
        </w:rPr>
        <w:t xml:space="preserve">o </w:t>
      </w:r>
      <w:r w:rsidR="00844234">
        <w:rPr>
          <w:sz w:val="22"/>
          <w:szCs w:val="22"/>
        </w:rPr>
        <w:t xml:space="preserve">address the </w:t>
      </w:r>
      <w:r w:rsidR="00EE1715">
        <w:rPr>
          <w:sz w:val="22"/>
          <w:szCs w:val="22"/>
        </w:rPr>
        <w:t xml:space="preserve">more sensitive south-east views, </w:t>
      </w:r>
      <w:proofErr w:type="spellStart"/>
      <w:r w:rsidR="00997363">
        <w:rPr>
          <w:sz w:val="22"/>
          <w:szCs w:val="22"/>
        </w:rPr>
        <w:t>Ms</w:t>
      </w:r>
      <w:proofErr w:type="spellEnd"/>
      <w:r w:rsidR="00997363">
        <w:rPr>
          <w:sz w:val="22"/>
          <w:szCs w:val="22"/>
        </w:rPr>
        <w:t xml:space="preserve"> Gray</w:t>
      </w:r>
      <w:r w:rsidR="00EE1715">
        <w:rPr>
          <w:sz w:val="22"/>
          <w:szCs w:val="22"/>
        </w:rPr>
        <w:t xml:space="preserve"> recommended that the height of the apartment building be lowered to six </w:t>
      </w:r>
      <w:proofErr w:type="spellStart"/>
      <w:r w:rsidR="00EE1715">
        <w:rPr>
          <w:sz w:val="22"/>
          <w:szCs w:val="22"/>
        </w:rPr>
        <w:t>storeys</w:t>
      </w:r>
      <w:proofErr w:type="spellEnd"/>
      <w:r w:rsidR="00EE1715">
        <w:rPr>
          <w:sz w:val="22"/>
          <w:szCs w:val="22"/>
        </w:rPr>
        <w:t xml:space="preserve">. In her view, this would reduce the scale change between the apartment building </w:t>
      </w:r>
      <w:r w:rsidR="00EE1715">
        <w:rPr>
          <w:sz w:val="22"/>
          <w:szCs w:val="22"/>
        </w:rPr>
        <w:lastRenderedPageBreak/>
        <w:t xml:space="preserve">and Main House </w:t>
      </w:r>
      <w:r>
        <w:rPr>
          <w:sz w:val="22"/>
          <w:szCs w:val="22"/>
        </w:rPr>
        <w:t>when viewed from</w:t>
      </w:r>
      <w:r w:rsidR="007332DD">
        <w:rPr>
          <w:sz w:val="22"/>
          <w:szCs w:val="22"/>
        </w:rPr>
        <w:t xml:space="preserve"> </w:t>
      </w:r>
      <w:r>
        <w:rPr>
          <w:sz w:val="22"/>
          <w:szCs w:val="22"/>
        </w:rPr>
        <w:t xml:space="preserve">the gap between the Place and </w:t>
      </w:r>
      <w:proofErr w:type="spellStart"/>
      <w:r>
        <w:rPr>
          <w:sz w:val="22"/>
          <w:szCs w:val="22"/>
        </w:rPr>
        <w:t>Dodgshun</w:t>
      </w:r>
      <w:proofErr w:type="spellEnd"/>
      <w:r>
        <w:rPr>
          <w:sz w:val="22"/>
          <w:szCs w:val="22"/>
        </w:rPr>
        <w:t xml:space="preserve"> House immediately to the south</w:t>
      </w:r>
      <w:r w:rsidR="00844234">
        <w:rPr>
          <w:sz w:val="22"/>
          <w:szCs w:val="22"/>
        </w:rPr>
        <w:t>.</w:t>
      </w:r>
      <w:r w:rsidR="00BA2065">
        <w:rPr>
          <w:sz w:val="22"/>
          <w:szCs w:val="22"/>
        </w:rPr>
        <w:t xml:space="preserve"> </w:t>
      </w:r>
    </w:p>
    <w:p w14:paraId="4EB1E20A" w14:textId="3ABCD040" w:rsidR="006F2B4B" w:rsidRPr="003B0BB3" w:rsidRDefault="006F2B4B" w:rsidP="00DD5237">
      <w:pPr>
        <w:pStyle w:val="BP2"/>
        <w:keepNext/>
        <w:spacing w:before="240" w:after="240"/>
        <w:jc w:val="both"/>
        <w:rPr>
          <w:bCs/>
          <w:i/>
          <w:spacing w:val="-1"/>
          <w:sz w:val="22"/>
          <w:szCs w:val="22"/>
        </w:rPr>
      </w:pPr>
      <w:r w:rsidRPr="003B0BB3">
        <w:rPr>
          <w:bCs/>
          <w:i/>
          <w:spacing w:val="-1"/>
          <w:sz w:val="22"/>
          <w:szCs w:val="22"/>
        </w:rPr>
        <w:t>Discussion and conclus</w:t>
      </w:r>
      <w:r w:rsidR="000118B6" w:rsidRPr="003B0BB3">
        <w:rPr>
          <w:bCs/>
          <w:i/>
          <w:spacing w:val="-1"/>
          <w:sz w:val="22"/>
          <w:szCs w:val="22"/>
        </w:rPr>
        <w:t>i</w:t>
      </w:r>
      <w:r w:rsidRPr="003B0BB3">
        <w:rPr>
          <w:bCs/>
          <w:i/>
          <w:spacing w:val="-1"/>
          <w:sz w:val="22"/>
          <w:szCs w:val="22"/>
        </w:rPr>
        <w:t>on</w:t>
      </w:r>
    </w:p>
    <w:p w14:paraId="513CB5A3" w14:textId="33C85A5C" w:rsidR="00367F46" w:rsidRPr="000118B6" w:rsidRDefault="000118B6" w:rsidP="000411B7">
      <w:pPr>
        <w:pStyle w:val="BP2"/>
        <w:numPr>
          <w:ilvl w:val="0"/>
          <w:numId w:val="3"/>
        </w:numPr>
        <w:tabs>
          <w:tab w:val="clear" w:pos="432"/>
          <w:tab w:val="left" w:pos="709"/>
        </w:tabs>
        <w:ind w:left="567" w:hanging="567"/>
        <w:rPr>
          <w:sz w:val="22"/>
          <w:szCs w:val="22"/>
        </w:rPr>
      </w:pPr>
      <w:r>
        <w:rPr>
          <w:sz w:val="22"/>
          <w:szCs w:val="22"/>
        </w:rPr>
        <w:t xml:space="preserve">Many of the concerns raised by </w:t>
      </w:r>
      <w:r w:rsidR="00E57712">
        <w:rPr>
          <w:sz w:val="22"/>
          <w:szCs w:val="22"/>
        </w:rPr>
        <w:t xml:space="preserve">the </w:t>
      </w:r>
      <w:r>
        <w:rPr>
          <w:sz w:val="22"/>
          <w:szCs w:val="22"/>
        </w:rPr>
        <w:t xml:space="preserve">Executive Director and other </w:t>
      </w:r>
      <w:r w:rsidR="00466C63">
        <w:rPr>
          <w:sz w:val="22"/>
          <w:szCs w:val="22"/>
        </w:rPr>
        <w:t xml:space="preserve">submitters </w:t>
      </w:r>
      <w:r>
        <w:rPr>
          <w:sz w:val="22"/>
          <w:szCs w:val="22"/>
        </w:rPr>
        <w:t>related to</w:t>
      </w:r>
      <w:r w:rsidR="00E57712">
        <w:rPr>
          <w:sz w:val="22"/>
          <w:szCs w:val="22"/>
        </w:rPr>
        <w:t xml:space="preserve"> </w:t>
      </w:r>
      <w:r>
        <w:rPr>
          <w:sz w:val="22"/>
          <w:szCs w:val="22"/>
        </w:rPr>
        <w:t xml:space="preserve">the heritage </w:t>
      </w:r>
      <w:r w:rsidR="00466C63">
        <w:rPr>
          <w:sz w:val="22"/>
          <w:szCs w:val="22"/>
        </w:rPr>
        <w:t>impacts of</w:t>
      </w:r>
      <w:r w:rsidR="0095299C">
        <w:rPr>
          <w:sz w:val="22"/>
          <w:szCs w:val="22"/>
        </w:rPr>
        <w:t xml:space="preserve"> </w:t>
      </w:r>
      <w:r>
        <w:rPr>
          <w:sz w:val="22"/>
          <w:szCs w:val="22"/>
        </w:rPr>
        <w:t xml:space="preserve">the </w:t>
      </w:r>
      <w:proofErr w:type="gramStart"/>
      <w:r w:rsidR="00D24B2E">
        <w:rPr>
          <w:sz w:val="22"/>
          <w:szCs w:val="22"/>
        </w:rPr>
        <w:t>proposal</w:t>
      </w:r>
      <w:r w:rsidR="00466C63">
        <w:rPr>
          <w:sz w:val="22"/>
          <w:szCs w:val="22"/>
        </w:rPr>
        <w:t xml:space="preserve"> </w:t>
      </w:r>
      <w:r w:rsidR="00466C63" w:rsidRPr="00466C63">
        <w:rPr>
          <w:i/>
          <w:sz w:val="22"/>
          <w:szCs w:val="22"/>
        </w:rPr>
        <w:t>as a</w:t>
      </w:r>
      <w:r w:rsidR="0095299C" w:rsidRPr="0095299C">
        <w:rPr>
          <w:i/>
          <w:sz w:val="22"/>
          <w:szCs w:val="22"/>
        </w:rPr>
        <w:t xml:space="preserve"> whole</w:t>
      </w:r>
      <w:proofErr w:type="gramEnd"/>
      <w:r w:rsidR="00E57712">
        <w:rPr>
          <w:sz w:val="22"/>
          <w:szCs w:val="22"/>
        </w:rPr>
        <w:t>. F</w:t>
      </w:r>
      <w:r>
        <w:rPr>
          <w:sz w:val="22"/>
          <w:szCs w:val="22"/>
        </w:rPr>
        <w:t>requently</w:t>
      </w:r>
      <w:r w:rsidR="00E57712">
        <w:rPr>
          <w:sz w:val="22"/>
          <w:szCs w:val="22"/>
        </w:rPr>
        <w:t>, submitters</w:t>
      </w:r>
      <w:r>
        <w:rPr>
          <w:sz w:val="22"/>
          <w:szCs w:val="22"/>
        </w:rPr>
        <w:t xml:space="preserve"> referred to </w:t>
      </w:r>
      <w:r w:rsidR="00E57712">
        <w:rPr>
          <w:sz w:val="22"/>
          <w:szCs w:val="22"/>
        </w:rPr>
        <w:t>the</w:t>
      </w:r>
      <w:r>
        <w:rPr>
          <w:sz w:val="22"/>
          <w:szCs w:val="22"/>
        </w:rPr>
        <w:t xml:space="preserve"> overall </w:t>
      </w:r>
      <w:r w:rsidR="00466C63">
        <w:rPr>
          <w:sz w:val="22"/>
          <w:szCs w:val="22"/>
        </w:rPr>
        <w:t>height, scale</w:t>
      </w:r>
      <w:r>
        <w:rPr>
          <w:sz w:val="22"/>
          <w:szCs w:val="22"/>
        </w:rPr>
        <w:t xml:space="preserve">, bulk and </w:t>
      </w:r>
      <w:r w:rsidR="00466C63">
        <w:rPr>
          <w:sz w:val="22"/>
          <w:szCs w:val="22"/>
        </w:rPr>
        <w:t xml:space="preserve">appearance </w:t>
      </w:r>
      <w:r w:rsidR="00E57712">
        <w:rPr>
          <w:sz w:val="22"/>
          <w:szCs w:val="22"/>
        </w:rPr>
        <w:t xml:space="preserve">of the </w:t>
      </w:r>
      <w:r w:rsidR="00D24B2E">
        <w:rPr>
          <w:sz w:val="22"/>
          <w:szCs w:val="22"/>
        </w:rPr>
        <w:t xml:space="preserve">apartment </w:t>
      </w:r>
      <w:r w:rsidR="00E57712">
        <w:rPr>
          <w:sz w:val="22"/>
          <w:szCs w:val="22"/>
        </w:rPr>
        <w:t xml:space="preserve">building </w:t>
      </w:r>
      <w:r>
        <w:rPr>
          <w:sz w:val="22"/>
          <w:szCs w:val="22"/>
        </w:rPr>
        <w:t xml:space="preserve">in describing </w:t>
      </w:r>
      <w:r w:rsidR="00E57712">
        <w:rPr>
          <w:sz w:val="22"/>
          <w:szCs w:val="22"/>
        </w:rPr>
        <w:t>their</w:t>
      </w:r>
      <w:r>
        <w:rPr>
          <w:sz w:val="22"/>
          <w:szCs w:val="22"/>
        </w:rPr>
        <w:t xml:space="preserve"> concerns</w:t>
      </w:r>
      <w:r w:rsidR="00DF20CC">
        <w:rPr>
          <w:sz w:val="22"/>
          <w:szCs w:val="22"/>
        </w:rPr>
        <w:t>.</w:t>
      </w:r>
      <w:r w:rsidR="0095299C">
        <w:rPr>
          <w:sz w:val="22"/>
          <w:szCs w:val="22"/>
        </w:rPr>
        <w:t xml:space="preserve"> </w:t>
      </w:r>
      <w:r w:rsidR="00367F46" w:rsidRPr="000118B6">
        <w:rPr>
          <w:sz w:val="22"/>
          <w:szCs w:val="22"/>
        </w:rPr>
        <w:t xml:space="preserve">The expert witnesses for the Permit Applicant also </w:t>
      </w:r>
      <w:r w:rsidR="00E57712">
        <w:rPr>
          <w:sz w:val="22"/>
          <w:szCs w:val="22"/>
        </w:rPr>
        <w:t>provided</w:t>
      </w:r>
      <w:r w:rsidR="00DF20CC" w:rsidRPr="000118B6">
        <w:rPr>
          <w:sz w:val="22"/>
          <w:szCs w:val="22"/>
        </w:rPr>
        <w:t xml:space="preserve"> evidence based on</w:t>
      </w:r>
      <w:r>
        <w:rPr>
          <w:sz w:val="22"/>
          <w:szCs w:val="22"/>
        </w:rPr>
        <w:t xml:space="preserve"> </w:t>
      </w:r>
      <w:r w:rsidR="00E57712">
        <w:rPr>
          <w:sz w:val="22"/>
          <w:szCs w:val="22"/>
        </w:rPr>
        <w:t>their assessment of</w:t>
      </w:r>
      <w:r w:rsidR="00DF20CC" w:rsidRPr="000118B6">
        <w:rPr>
          <w:sz w:val="22"/>
          <w:szCs w:val="22"/>
        </w:rPr>
        <w:t xml:space="preserve"> the </w:t>
      </w:r>
      <w:r w:rsidR="002A6D5F" w:rsidRPr="000118B6">
        <w:rPr>
          <w:sz w:val="22"/>
          <w:szCs w:val="22"/>
        </w:rPr>
        <w:t xml:space="preserve">heritage </w:t>
      </w:r>
      <w:r w:rsidR="00DF20CC" w:rsidRPr="000118B6">
        <w:rPr>
          <w:sz w:val="22"/>
          <w:szCs w:val="22"/>
        </w:rPr>
        <w:t>impact</w:t>
      </w:r>
      <w:r w:rsidR="00035DBF" w:rsidRPr="000118B6">
        <w:rPr>
          <w:sz w:val="22"/>
          <w:szCs w:val="22"/>
        </w:rPr>
        <w:t>s</w:t>
      </w:r>
      <w:r w:rsidR="00DF20CC" w:rsidRPr="000118B6">
        <w:rPr>
          <w:sz w:val="22"/>
          <w:szCs w:val="22"/>
        </w:rPr>
        <w:t xml:space="preserve"> </w:t>
      </w:r>
      <w:r w:rsidR="00035DBF" w:rsidRPr="000118B6">
        <w:rPr>
          <w:sz w:val="22"/>
          <w:szCs w:val="22"/>
        </w:rPr>
        <w:t>of the</w:t>
      </w:r>
      <w:r w:rsidR="00DF20CC" w:rsidRPr="000118B6">
        <w:rPr>
          <w:sz w:val="22"/>
          <w:szCs w:val="22"/>
        </w:rPr>
        <w:t xml:space="preserve"> </w:t>
      </w:r>
      <w:r w:rsidR="00A73E82">
        <w:rPr>
          <w:sz w:val="22"/>
          <w:szCs w:val="22"/>
        </w:rPr>
        <w:t xml:space="preserve">entire </w:t>
      </w:r>
      <w:r w:rsidR="00580080" w:rsidRPr="000118B6">
        <w:rPr>
          <w:sz w:val="22"/>
          <w:szCs w:val="22"/>
        </w:rPr>
        <w:t>proposa</w:t>
      </w:r>
      <w:r w:rsidR="00A73E82">
        <w:rPr>
          <w:sz w:val="22"/>
          <w:szCs w:val="22"/>
        </w:rPr>
        <w:t>l</w:t>
      </w:r>
      <w:r w:rsidR="007C21D8" w:rsidRPr="00A73E82">
        <w:rPr>
          <w:sz w:val="22"/>
          <w:szCs w:val="22"/>
        </w:rPr>
        <w:t>.</w:t>
      </w:r>
    </w:p>
    <w:p w14:paraId="61131629" w14:textId="156A3073" w:rsidR="000B3EA9" w:rsidRDefault="002A6D5F" w:rsidP="000411B7">
      <w:pPr>
        <w:pStyle w:val="BP2"/>
        <w:numPr>
          <w:ilvl w:val="0"/>
          <w:numId w:val="3"/>
        </w:numPr>
        <w:tabs>
          <w:tab w:val="clear" w:pos="432"/>
          <w:tab w:val="left" w:pos="709"/>
        </w:tabs>
        <w:ind w:left="567" w:hanging="567"/>
        <w:rPr>
          <w:sz w:val="22"/>
          <w:szCs w:val="22"/>
        </w:rPr>
      </w:pPr>
      <w:r>
        <w:rPr>
          <w:sz w:val="22"/>
          <w:szCs w:val="22"/>
        </w:rPr>
        <w:t xml:space="preserve">However, </w:t>
      </w:r>
      <w:r w:rsidR="00E57712">
        <w:rPr>
          <w:sz w:val="22"/>
          <w:szCs w:val="22"/>
        </w:rPr>
        <w:t>as explained</w:t>
      </w:r>
      <w:r>
        <w:rPr>
          <w:sz w:val="22"/>
          <w:szCs w:val="22"/>
        </w:rPr>
        <w:t xml:space="preserve"> in paragraphs </w:t>
      </w:r>
      <w:r w:rsidR="00302301" w:rsidRPr="00F279D5">
        <w:rPr>
          <w:sz w:val="22"/>
          <w:szCs w:val="22"/>
        </w:rPr>
        <w:fldChar w:fldCharType="begin"/>
      </w:r>
      <w:r w:rsidR="00302301" w:rsidRPr="00F279D5">
        <w:rPr>
          <w:sz w:val="22"/>
          <w:szCs w:val="22"/>
        </w:rPr>
        <w:instrText xml:space="preserve"> REF _Ref10637633 \r \h </w:instrText>
      </w:r>
      <w:r w:rsidR="00E6411A" w:rsidRPr="00F279D5">
        <w:rPr>
          <w:sz w:val="22"/>
          <w:szCs w:val="22"/>
        </w:rPr>
        <w:instrText xml:space="preserve"> \* MERGEFORMAT </w:instrText>
      </w:r>
      <w:r w:rsidR="00302301" w:rsidRPr="00F279D5">
        <w:rPr>
          <w:sz w:val="22"/>
          <w:szCs w:val="22"/>
        </w:rPr>
      </w:r>
      <w:r w:rsidR="00302301" w:rsidRPr="00F279D5">
        <w:rPr>
          <w:sz w:val="22"/>
          <w:szCs w:val="22"/>
        </w:rPr>
        <w:fldChar w:fldCharType="separate"/>
      </w:r>
      <w:r w:rsidR="00F414A6">
        <w:rPr>
          <w:sz w:val="22"/>
          <w:szCs w:val="22"/>
        </w:rPr>
        <w:t>046</w:t>
      </w:r>
      <w:r w:rsidR="00302301" w:rsidRPr="00F279D5">
        <w:rPr>
          <w:sz w:val="22"/>
          <w:szCs w:val="22"/>
        </w:rPr>
        <w:fldChar w:fldCharType="end"/>
      </w:r>
      <w:r w:rsidRPr="00F279D5">
        <w:rPr>
          <w:sz w:val="22"/>
          <w:szCs w:val="22"/>
        </w:rPr>
        <w:t xml:space="preserve"> to </w:t>
      </w:r>
      <w:r w:rsidR="00302301" w:rsidRPr="00F279D5">
        <w:rPr>
          <w:sz w:val="22"/>
          <w:szCs w:val="22"/>
        </w:rPr>
        <w:fldChar w:fldCharType="begin"/>
      </w:r>
      <w:r w:rsidR="00302301" w:rsidRPr="00F279D5">
        <w:rPr>
          <w:sz w:val="22"/>
          <w:szCs w:val="22"/>
        </w:rPr>
        <w:instrText xml:space="preserve"> REF _Ref10619063 \r \h </w:instrText>
      </w:r>
      <w:r w:rsidR="00E6411A" w:rsidRPr="00F279D5">
        <w:rPr>
          <w:sz w:val="22"/>
          <w:szCs w:val="22"/>
        </w:rPr>
        <w:instrText xml:space="preserve"> \* MERGEFORMAT </w:instrText>
      </w:r>
      <w:r w:rsidR="00302301" w:rsidRPr="00F279D5">
        <w:rPr>
          <w:sz w:val="22"/>
          <w:szCs w:val="22"/>
        </w:rPr>
      </w:r>
      <w:r w:rsidR="00302301" w:rsidRPr="00F279D5">
        <w:rPr>
          <w:sz w:val="22"/>
          <w:szCs w:val="22"/>
        </w:rPr>
        <w:fldChar w:fldCharType="separate"/>
      </w:r>
      <w:r w:rsidR="00F414A6">
        <w:rPr>
          <w:sz w:val="22"/>
          <w:szCs w:val="22"/>
        </w:rPr>
        <w:t>051</w:t>
      </w:r>
      <w:r w:rsidR="00302301" w:rsidRPr="00F279D5">
        <w:rPr>
          <w:sz w:val="22"/>
          <w:szCs w:val="22"/>
        </w:rPr>
        <w:fldChar w:fldCharType="end"/>
      </w:r>
      <w:r>
        <w:rPr>
          <w:sz w:val="22"/>
          <w:szCs w:val="22"/>
        </w:rPr>
        <w:t xml:space="preserve"> above, the </w:t>
      </w:r>
      <w:r w:rsidR="00E00F2B">
        <w:rPr>
          <w:sz w:val="22"/>
          <w:szCs w:val="22"/>
        </w:rPr>
        <w:t xml:space="preserve">task </w:t>
      </w:r>
      <w:r>
        <w:rPr>
          <w:sz w:val="22"/>
          <w:szCs w:val="22"/>
        </w:rPr>
        <w:t xml:space="preserve">of the Committee is to </w:t>
      </w:r>
      <w:r w:rsidR="00173DB1">
        <w:rPr>
          <w:sz w:val="22"/>
          <w:szCs w:val="22"/>
        </w:rPr>
        <w:t>determine whether</w:t>
      </w:r>
      <w:r w:rsidR="00B1630B">
        <w:rPr>
          <w:sz w:val="22"/>
          <w:szCs w:val="22"/>
        </w:rPr>
        <w:t xml:space="preserve"> or not a permit should be issued for the </w:t>
      </w:r>
      <w:r w:rsidR="00173DB1">
        <w:rPr>
          <w:sz w:val="22"/>
          <w:szCs w:val="22"/>
        </w:rPr>
        <w:t xml:space="preserve">works and activities </w:t>
      </w:r>
      <w:r w:rsidR="00B1630B">
        <w:rPr>
          <w:sz w:val="22"/>
          <w:szCs w:val="22"/>
        </w:rPr>
        <w:t xml:space="preserve">that fall within the </w:t>
      </w:r>
      <w:r w:rsidR="000B3EA9">
        <w:rPr>
          <w:sz w:val="22"/>
          <w:szCs w:val="22"/>
        </w:rPr>
        <w:t>building footprint of the Main House and Rear Wing</w:t>
      </w:r>
      <w:r w:rsidR="00144D28">
        <w:rPr>
          <w:sz w:val="22"/>
          <w:szCs w:val="22"/>
        </w:rPr>
        <w:t>.</w:t>
      </w:r>
      <w:r w:rsidR="00B1630B">
        <w:rPr>
          <w:sz w:val="22"/>
          <w:szCs w:val="22"/>
        </w:rPr>
        <w:t xml:space="preserve"> </w:t>
      </w:r>
      <w:r w:rsidR="000B3EA9">
        <w:rPr>
          <w:sz w:val="22"/>
          <w:szCs w:val="22"/>
        </w:rPr>
        <w:t xml:space="preserve">This requires the Committee to focus on the heritage impacts of </w:t>
      </w:r>
      <w:r w:rsidR="00A23EAE">
        <w:rPr>
          <w:sz w:val="22"/>
          <w:szCs w:val="22"/>
        </w:rPr>
        <w:t xml:space="preserve">the </w:t>
      </w:r>
      <w:r w:rsidR="00EA4A64">
        <w:rPr>
          <w:sz w:val="22"/>
          <w:szCs w:val="22"/>
        </w:rPr>
        <w:t>a</w:t>
      </w:r>
      <w:r w:rsidR="00A23EAE">
        <w:rPr>
          <w:sz w:val="22"/>
          <w:szCs w:val="22"/>
        </w:rPr>
        <w:t xml:space="preserve">partment </w:t>
      </w:r>
      <w:r w:rsidR="00EA4A64">
        <w:rPr>
          <w:sz w:val="22"/>
          <w:szCs w:val="22"/>
        </w:rPr>
        <w:t>w</w:t>
      </w:r>
      <w:r w:rsidR="00A23EAE">
        <w:rPr>
          <w:sz w:val="22"/>
          <w:szCs w:val="22"/>
        </w:rPr>
        <w:t>orks</w:t>
      </w:r>
      <w:r w:rsidR="003E1556">
        <w:rPr>
          <w:sz w:val="22"/>
          <w:szCs w:val="22"/>
        </w:rPr>
        <w:t xml:space="preserve"> as described in paragraph </w:t>
      </w:r>
      <w:r w:rsidR="00302301">
        <w:rPr>
          <w:sz w:val="22"/>
          <w:szCs w:val="22"/>
        </w:rPr>
        <w:fldChar w:fldCharType="begin"/>
      </w:r>
      <w:r w:rsidR="00302301">
        <w:rPr>
          <w:sz w:val="22"/>
          <w:szCs w:val="22"/>
        </w:rPr>
        <w:instrText xml:space="preserve"> REF _Ref11159868 \r \h </w:instrText>
      </w:r>
      <w:r w:rsidR="00302301">
        <w:rPr>
          <w:sz w:val="22"/>
          <w:szCs w:val="22"/>
        </w:rPr>
      </w:r>
      <w:r w:rsidR="00302301">
        <w:rPr>
          <w:sz w:val="22"/>
          <w:szCs w:val="22"/>
        </w:rPr>
        <w:fldChar w:fldCharType="separate"/>
      </w:r>
      <w:r w:rsidR="00F414A6">
        <w:rPr>
          <w:sz w:val="22"/>
          <w:szCs w:val="22"/>
        </w:rPr>
        <w:t>050</w:t>
      </w:r>
      <w:r w:rsidR="00302301">
        <w:rPr>
          <w:sz w:val="22"/>
          <w:szCs w:val="22"/>
        </w:rPr>
        <w:fldChar w:fldCharType="end"/>
      </w:r>
      <w:r w:rsidR="003E1556">
        <w:rPr>
          <w:sz w:val="22"/>
          <w:szCs w:val="22"/>
        </w:rPr>
        <w:t xml:space="preserve"> above.</w:t>
      </w:r>
    </w:p>
    <w:p w14:paraId="2B631DA0" w14:textId="18CF4847" w:rsidR="0069241E" w:rsidRDefault="00BF5045" w:rsidP="000411B7">
      <w:pPr>
        <w:pStyle w:val="BP2"/>
        <w:numPr>
          <w:ilvl w:val="0"/>
          <w:numId w:val="3"/>
        </w:numPr>
        <w:tabs>
          <w:tab w:val="clear" w:pos="432"/>
          <w:tab w:val="left" w:pos="709"/>
        </w:tabs>
        <w:ind w:left="567" w:hanging="567"/>
        <w:rPr>
          <w:sz w:val="22"/>
          <w:szCs w:val="22"/>
        </w:rPr>
      </w:pPr>
      <w:r w:rsidRPr="00B1630B">
        <w:rPr>
          <w:sz w:val="22"/>
          <w:szCs w:val="22"/>
        </w:rPr>
        <w:t>The Committee appreciates that this approach</w:t>
      </w:r>
      <w:r w:rsidR="004B1130" w:rsidRPr="00B1630B">
        <w:rPr>
          <w:sz w:val="22"/>
          <w:szCs w:val="22"/>
        </w:rPr>
        <w:t xml:space="preserve"> may frustrat</w:t>
      </w:r>
      <w:r w:rsidR="000B3EA9">
        <w:rPr>
          <w:sz w:val="22"/>
          <w:szCs w:val="22"/>
        </w:rPr>
        <w:t>e</w:t>
      </w:r>
      <w:r w:rsidR="004B1130" w:rsidRPr="00B1630B">
        <w:rPr>
          <w:sz w:val="22"/>
          <w:szCs w:val="22"/>
        </w:rPr>
        <w:t xml:space="preserve"> submitters</w:t>
      </w:r>
      <w:r w:rsidR="000B3EA9">
        <w:rPr>
          <w:sz w:val="22"/>
          <w:szCs w:val="22"/>
        </w:rPr>
        <w:t xml:space="preserve"> who are concerned about the impacts of the </w:t>
      </w:r>
      <w:r w:rsidR="006240CB">
        <w:rPr>
          <w:sz w:val="22"/>
          <w:szCs w:val="22"/>
        </w:rPr>
        <w:t xml:space="preserve">overall </w:t>
      </w:r>
      <w:r w:rsidR="000B3EA9">
        <w:rPr>
          <w:sz w:val="22"/>
          <w:szCs w:val="22"/>
        </w:rPr>
        <w:t>proposal</w:t>
      </w:r>
      <w:r w:rsidR="009C2491" w:rsidRPr="00B1630B">
        <w:rPr>
          <w:sz w:val="22"/>
          <w:szCs w:val="22"/>
        </w:rPr>
        <w:t xml:space="preserve">. </w:t>
      </w:r>
      <w:r w:rsidR="004B1130" w:rsidRPr="00B1630B">
        <w:rPr>
          <w:sz w:val="22"/>
          <w:szCs w:val="22"/>
        </w:rPr>
        <w:t xml:space="preserve">However, </w:t>
      </w:r>
      <w:r w:rsidR="00CB1809" w:rsidRPr="00B1630B">
        <w:rPr>
          <w:sz w:val="22"/>
          <w:szCs w:val="22"/>
        </w:rPr>
        <w:t xml:space="preserve">it is necessary because </w:t>
      </w:r>
      <w:r w:rsidR="00A5633E">
        <w:rPr>
          <w:sz w:val="22"/>
          <w:szCs w:val="22"/>
        </w:rPr>
        <w:t>of</w:t>
      </w:r>
      <w:r w:rsidR="004B1130" w:rsidRPr="00B1630B">
        <w:rPr>
          <w:sz w:val="22"/>
          <w:szCs w:val="22"/>
        </w:rPr>
        <w:t xml:space="preserve"> </w:t>
      </w:r>
      <w:r w:rsidR="00A827EC">
        <w:rPr>
          <w:sz w:val="22"/>
          <w:szCs w:val="22"/>
        </w:rPr>
        <w:t xml:space="preserve">the limits imposed by </w:t>
      </w:r>
      <w:r w:rsidR="004B1130" w:rsidRPr="00B1630B">
        <w:rPr>
          <w:sz w:val="22"/>
          <w:szCs w:val="22"/>
        </w:rPr>
        <w:t>the extent of registration</w:t>
      </w:r>
      <w:r w:rsidR="00874936">
        <w:rPr>
          <w:sz w:val="22"/>
          <w:szCs w:val="22"/>
        </w:rPr>
        <w:t xml:space="preserve"> on the Committee’s jurisdiction in this matter</w:t>
      </w:r>
      <w:r w:rsidR="004B1130" w:rsidRPr="00B1630B">
        <w:rPr>
          <w:sz w:val="22"/>
          <w:szCs w:val="22"/>
        </w:rPr>
        <w:t>.</w:t>
      </w:r>
    </w:p>
    <w:p w14:paraId="7F58DFF7" w14:textId="77777777" w:rsidR="00EA4A64" w:rsidRPr="00E6411A" w:rsidRDefault="00874936" w:rsidP="00EA4A64">
      <w:pPr>
        <w:pStyle w:val="BP2"/>
        <w:numPr>
          <w:ilvl w:val="0"/>
          <w:numId w:val="3"/>
        </w:numPr>
        <w:tabs>
          <w:tab w:val="clear" w:pos="432"/>
          <w:tab w:val="left" w:pos="709"/>
        </w:tabs>
        <w:ind w:left="567" w:hanging="567"/>
        <w:rPr>
          <w:sz w:val="22"/>
          <w:szCs w:val="22"/>
        </w:rPr>
      </w:pPr>
      <w:r w:rsidRPr="00E6411A">
        <w:rPr>
          <w:sz w:val="22"/>
          <w:szCs w:val="22"/>
        </w:rPr>
        <w:t xml:space="preserve">Before </w:t>
      </w:r>
      <w:r w:rsidR="00EA4A64" w:rsidRPr="00E6411A">
        <w:rPr>
          <w:sz w:val="22"/>
          <w:szCs w:val="22"/>
        </w:rPr>
        <w:t>the Committee addresses the specific apartment works</w:t>
      </w:r>
      <w:r w:rsidRPr="00E6411A">
        <w:rPr>
          <w:sz w:val="22"/>
          <w:szCs w:val="22"/>
        </w:rPr>
        <w:t xml:space="preserve">, </w:t>
      </w:r>
      <w:r w:rsidR="0090678E" w:rsidRPr="00E6411A">
        <w:rPr>
          <w:sz w:val="22"/>
          <w:szCs w:val="22"/>
        </w:rPr>
        <w:t xml:space="preserve">something must be said about the submissions made by </w:t>
      </w:r>
      <w:proofErr w:type="spellStart"/>
      <w:r w:rsidR="0090678E" w:rsidRPr="00E6411A">
        <w:rPr>
          <w:sz w:val="22"/>
          <w:szCs w:val="22"/>
        </w:rPr>
        <w:t>Yarra</w:t>
      </w:r>
      <w:proofErr w:type="spellEnd"/>
      <w:r w:rsidR="0090678E" w:rsidRPr="00E6411A">
        <w:rPr>
          <w:sz w:val="22"/>
          <w:szCs w:val="22"/>
        </w:rPr>
        <w:t xml:space="preserve"> and its decision to grant a planning permit for the proposal.</w:t>
      </w:r>
    </w:p>
    <w:p w14:paraId="7CC240BC" w14:textId="72C657E1" w:rsidR="00874936" w:rsidRPr="00E6411A" w:rsidRDefault="00874936" w:rsidP="00EA4A64">
      <w:pPr>
        <w:pStyle w:val="BP2"/>
        <w:numPr>
          <w:ilvl w:val="0"/>
          <w:numId w:val="3"/>
        </w:numPr>
        <w:tabs>
          <w:tab w:val="clear" w:pos="432"/>
          <w:tab w:val="left" w:pos="709"/>
        </w:tabs>
        <w:ind w:left="567" w:hanging="567"/>
        <w:rPr>
          <w:sz w:val="22"/>
          <w:szCs w:val="22"/>
        </w:rPr>
      </w:pPr>
      <w:r w:rsidRPr="00E6411A">
        <w:rPr>
          <w:sz w:val="22"/>
          <w:szCs w:val="22"/>
        </w:rPr>
        <w:t xml:space="preserve">Having </w:t>
      </w:r>
      <w:r w:rsidR="00BA2065">
        <w:rPr>
          <w:sz w:val="22"/>
          <w:szCs w:val="22"/>
        </w:rPr>
        <w:t xml:space="preserve">left </w:t>
      </w:r>
      <w:r w:rsidRPr="00E6411A">
        <w:rPr>
          <w:sz w:val="22"/>
          <w:szCs w:val="22"/>
        </w:rPr>
        <w:t xml:space="preserve">all heritage considerations to Heritage Victoria for consideration under the </w:t>
      </w:r>
      <w:r w:rsidR="00E6411A">
        <w:rPr>
          <w:sz w:val="22"/>
          <w:szCs w:val="22"/>
        </w:rPr>
        <w:t xml:space="preserve">2017 </w:t>
      </w:r>
      <w:r w:rsidRPr="00E6411A">
        <w:rPr>
          <w:sz w:val="22"/>
          <w:szCs w:val="22"/>
        </w:rPr>
        <w:t xml:space="preserve">Act, </w:t>
      </w:r>
      <w:proofErr w:type="spellStart"/>
      <w:r w:rsidRPr="00E6411A">
        <w:rPr>
          <w:sz w:val="22"/>
          <w:szCs w:val="22"/>
        </w:rPr>
        <w:t>Yarra</w:t>
      </w:r>
      <w:proofErr w:type="spellEnd"/>
      <w:r w:rsidRPr="00E6411A">
        <w:rPr>
          <w:sz w:val="22"/>
          <w:szCs w:val="22"/>
        </w:rPr>
        <w:t xml:space="preserve"> concluded that it was appropriate to grant a planning permit for a seven-</w:t>
      </w:r>
      <w:proofErr w:type="spellStart"/>
      <w:r w:rsidRPr="00E6411A">
        <w:rPr>
          <w:sz w:val="22"/>
          <w:szCs w:val="22"/>
        </w:rPr>
        <w:t>storey</w:t>
      </w:r>
      <w:proofErr w:type="spellEnd"/>
      <w:r w:rsidRPr="00E6411A">
        <w:rPr>
          <w:sz w:val="22"/>
          <w:szCs w:val="22"/>
        </w:rPr>
        <w:t xml:space="preserve"> building. However, for the purposes of this Review, </w:t>
      </w:r>
      <w:proofErr w:type="spellStart"/>
      <w:r w:rsidRPr="00E6411A">
        <w:rPr>
          <w:sz w:val="22"/>
          <w:szCs w:val="22"/>
        </w:rPr>
        <w:t>Yarra</w:t>
      </w:r>
      <w:proofErr w:type="spellEnd"/>
      <w:r w:rsidR="0090678E" w:rsidRPr="00E6411A">
        <w:rPr>
          <w:sz w:val="22"/>
          <w:szCs w:val="22"/>
        </w:rPr>
        <w:t xml:space="preserve"> supported the Executive Director’s decision to refuse the Application</w:t>
      </w:r>
      <w:r w:rsidRPr="00E6411A">
        <w:rPr>
          <w:sz w:val="22"/>
          <w:szCs w:val="22"/>
        </w:rPr>
        <w:t>.</w:t>
      </w:r>
    </w:p>
    <w:p w14:paraId="3295255B" w14:textId="1EAA10F0" w:rsidR="00874936" w:rsidRPr="00E6411A" w:rsidRDefault="00874936" w:rsidP="000411B7">
      <w:pPr>
        <w:pStyle w:val="BP2"/>
        <w:numPr>
          <w:ilvl w:val="0"/>
          <w:numId w:val="3"/>
        </w:numPr>
        <w:tabs>
          <w:tab w:val="clear" w:pos="432"/>
          <w:tab w:val="left" w:pos="709"/>
        </w:tabs>
        <w:ind w:left="567" w:hanging="567"/>
        <w:rPr>
          <w:sz w:val="22"/>
          <w:szCs w:val="22"/>
        </w:rPr>
      </w:pPr>
      <w:r w:rsidRPr="00E6411A">
        <w:rPr>
          <w:sz w:val="22"/>
          <w:szCs w:val="22"/>
        </w:rPr>
        <w:t xml:space="preserve">While appreciating that the extent of registration is at the heart of the issue, the Committee found it difficult to reconcile </w:t>
      </w:r>
      <w:proofErr w:type="spellStart"/>
      <w:r w:rsidRPr="00E6411A">
        <w:rPr>
          <w:sz w:val="22"/>
          <w:szCs w:val="22"/>
        </w:rPr>
        <w:t>Yarra’s</w:t>
      </w:r>
      <w:proofErr w:type="spellEnd"/>
      <w:r w:rsidRPr="00E6411A">
        <w:rPr>
          <w:sz w:val="22"/>
          <w:szCs w:val="22"/>
        </w:rPr>
        <w:t xml:space="preserve"> different views</w:t>
      </w:r>
      <w:r w:rsidR="00A06573">
        <w:rPr>
          <w:sz w:val="22"/>
          <w:szCs w:val="22"/>
        </w:rPr>
        <w:t>.</w:t>
      </w:r>
    </w:p>
    <w:p w14:paraId="497DF22F" w14:textId="7D588FCA" w:rsidR="002046BC" w:rsidRPr="00E6411A" w:rsidRDefault="00874936" w:rsidP="000411B7">
      <w:pPr>
        <w:pStyle w:val="BP2"/>
        <w:numPr>
          <w:ilvl w:val="0"/>
          <w:numId w:val="3"/>
        </w:numPr>
        <w:tabs>
          <w:tab w:val="clear" w:pos="432"/>
          <w:tab w:val="left" w:pos="709"/>
        </w:tabs>
        <w:ind w:left="567" w:hanging="567"/>
        <w:rPr>
          <w:sz w:val="22"/>
          <w:szCs w:val="22"/>
        </w:rPr>
      </w:pPr>
      <w:r w:rsidRPr="00E6411A">
        <w:rPr>
          <w:sz w:val="22"/>
          <w:szCs w:val="22"/>
        </w:rPr>
        <w:t>The Committee note</w:t>
      </w:r>
      <w:r w:rsidR="0090678E" w:rsidRPr="00E6411A">
        <w:rPr>
          <w:sz w:val="22"/>
          <w:szCs w:val="22"/>
        </w:rPr>
        <w:t>s</w:t>
      </w:r>
      <w:r w:rsidRPr="00E6411A">
        <w:rPr>
          <w:sz w:val="22"/>
          <w:szCs w:val="22"/>
        </w:rPr>
        <w:t xml:space="preserve"> that the unfortunate result was that </w:t>
      </w:r>
      <w:r w:rsidR="0090678E" w:rsidRPr="00E6411A">
        <w:rPr>
          <w:sz w:val="22"/>
          <w:szCs w:val="22"/>
        </w:rPr>
        <w:t xml:space="preserve">the </w:t>
      </w:r>
      <w:r w:rsidR="00BA2065">
        <w:rPr>
          <w:sz w:val="22"/>
          <w:szCs w:val="22"/>
        </w:rPr>
        <w:t xml:space="preserve">heritage </w:t>
      </w:r>
      <w:r w:rsidRPr="00E6411A">
        <w:rPr>
          <w:sz w:val="22"/>
          <w:szCs w:val="22"/>
        </w:rPr>
        <w:t>impact</w:t>
      </w:r>
      <w:r w:rsidR="0090678E" w:rsidRPr="00E6411A">
        <w:rPr>
          <w:sz w:val="22"/>
          <w:szCs w:val="22"/>
        </w:rPr>
        <w:t>s</w:t>
      </w:r>
      <w:r w:rsidRPr="00E6411A">
        <w:rPr>
          <w:sz w:val="22"/>
          <w:szCs w:val="22"/>
        </w:rPr>
        <w:t xml:space="preserve"> of th</w:t>
      </w:r>
      <w:r w:rsidR="0090678E" w:rsidRPr="00E6411A">
        <w:rPr>
          <w:sz w:val="22"/>
          <w:szCs w:val="22"/>
        </w:rPr>
        <w:t>at part of the proposed</w:t>
      </w:r>
      <w:r w:rsidRPr="00E6411A">
        <w:rPr>
          <w:sz w:val="22"/>
          <w:szCs w:val="22"/>
        </w:rPr>
        <w:t xml:space="preserve"> apartment </w:t>
      </w:r>
      <w:r w:rsidR="0090678E" w:rsidRPr="00E6411A">
        <w:rPr>
          <w:sz w:val="22"/>
          <w:szCs w:val="22"/>
        </w:rPr>
        <w:t xml:space="preserve">building </w:t>
      </w:r>
      <w:r w:rsidR="004F5F06" w:rsidRPr="00E6411A">
        <w:rPr>
          <w:sz w:val="22"/>
          <w:szCs w:val="22"/>
        </w:rPr>
        <w:t>outside of the building footpr</w:t>
      </w:r>
      <w:r w:rsidR="00E6411A">
        <w:rPr>
          <w:sz w:val="22"/>
          <w:szCs w:val="22"/>
        </w:rPr>
        <w:t>i</w:t>
      </w:r>
      <w:r w:rsidR="004F5F06" w:rsidRPr="00E6411A">
        <w:rPr>
          <w:sz w:val="22"/>
          <w:szCs w:val="22"/>
        </w:rPr>
        <w:t xml:space="preserve">nt of the Main House and Rear Wing, but within the boundaries of </w:t>
      </w:r>
      <w:r w:rsidRPr="00E6411A">
        <w:rPr>
          <w:sz w:val="22"/>
          <w:szCs w:val="22"/>
        </w:rPr>
        <w:t>HO</w:t>
      </w:r>
      <w:r w:rsidR="004F5F06" w:rsidRPr="00E6411A">
        <w:rPr>
          <w:sz w:val="22"/>
          <w:szCs w:val="22"/>
        </w:rPr>
        <w:t>151</w:t>
      </w:r>
      <w:r w:rsidRPr="00E6411A">
        <w:rPr>
          <w:sz w:val="22"/>
          <w:szCs w:val="22"/>
        </w:rPr>
        <w:t xml:space="preserve">, </w:t>
      </w:r>
      <w:r w:rsidR="004F5F06" w:rsidRPr="00E6411A">
        <w:rPr>
          <w:sz w:val="22"/>
          <w:szCs w:val="22"/>
        </w:rPr>
        <w:t>were</w:t>
      </w:r>
      <w:r w:rsidRPr="00E6411A">
        <w:rPr>
          <w:sz w:val="22"/>
          <w:szCs w:val="22"/>
        </w:rPr>
        <w:t xml:space="preserve"> not assessed by </w:t>
      </w:r>
      <w:proofErr w:type="spellStart"/>
      <w:r w:rsidRPr="00E6411A">
        <w:rPr>
          <w:sz w:val="22"/>
          <w:szCs w:val="22"/>
        </w:rPr>
        <w:t>Yarra</w:t>
      </w:r>
      <w:proofErr w:type="spellEnd"/>
      <w:r w:rsidR="00BA2065">
        <w:rPr>
          <w:sz w:val="22"/>
          <w:szCs w:val="22"/>
        </w:rPr>
        <w:t xml:space="preserve"> in the context of the planning </w:t>
      </w:r>
      <w:proofErr w:type="gramStart"/>
      <w:r w:rsidR="00BA2065">
        <w:rPr>
          <w:sz w:val="22"/>
          <w:szCs w:val="22"/>
        </w:rPr>
        <w:t>permit</w:t>
      </w:r>
      <w:r w:rsidRPr="00E6411A">
        <w:rPr>
          <w:sz w:val="22"/>
          <w:szCs w:val="22"/>
        </w:rPr>
        <w:t>, and</w:t>
      </w:r>
      <w:proofErr w:type="gramEnd"/>
      <w:r w:rsidRPr="00E6411A">
        <w:rPr>
          <w:sz w:val="22"/>
          <w:szCs w:val="22"/>
        </w:rPr>
        <w:t xml:space="preserve"> </w:t>
      </w:r>
      <w:r w:rsidR="00BA2065">
        <w:rPr>
          <w:sz w:val="22"/>
          <w:szCs w:val="22"/>
        </w:rPr>
        <w:t xml:space="preserve">are </w:t>
      </w:r>
      <w:r w:rsidRPr="00E6411A">
        <w:rPr>
          <w:sz w:val="22"/>
          <w:szCs w:val="22"/>
        </w:rPr>
        <w:t>not able to be assessed by the Committee</w:t>
      </w:r>
      <w:r w:rsidR="00BA2065">
        <w:rPr>
          <w:sz w:val="22"/>
          <w:szCs w:val="22"/>
        </w:rPr>
        <w:t xml:space="preserve"> in the context of this Review</w:t>
      </w:r>
      <w:r w:rsidRPr="00E6411A">
        <w:rPr>
          <w:sz w:val="22"/>
          <w:szCs w:val="22"/>
        </w:rPr>
        <w:t>.</w:t>
      </w:r>
    </w:p>
    <w:p w14:paraId="66ECE006" w14:textId="6B79616A" w:rsidR="00C27E7F" w:rsidRDefault="004F5F06" w:rsidP="000411B7">
      <w:pPr>
        <w:pStyle w:val="BP2"/>
        <w:numPr>
          <w:ilvl w:val="0"/>
          <w:numId w:val="3"/>
        </w:numPr>
        <w:tabs>
          <w:tab w:val="clear" w:pos="432"/>
          <w:tab w:val="left" w:pos="709"/>
        </w:tabs>
        <w:ind w:left="567" w:hanging="567"/>
        <w:rPr>
          <w:sz w:val="22"/>
          <w:szCs w:val="22"/>
        </w:rPr>
      </w:pPr>
      <w:r w:rsidRPr="00E6411A">
        <w:rPr>
          <w:sz w:val="22"/>
          <w:szCs w:val="22"/>
        </w:rPr>
        <w:t xml:space="preserve">Turning now to the </w:t>
      </w:r>
      <w:r w:rsidR="00EA4A64" w:rsidRPr="00E6411A">
        <w:rPr>
          <w:sz w:val="22"/>
          <w:szCs w:val="22"/>
        </w:rPr>
        <w:t>specific apartment works</w:t>
      </w:r>
      <w:r w:rsidRPr="00E6411A">
        <w:rPr>
          <w:sz w:val="22"/>
          <w:szCs w:val="22"/>
        </w:rPr>
        <w:t>, t</w:t>
      </w:r>
      <w:r w:rsidR="00C8688E" w:rsidRPr="00E6411A">
        <w:rPr>
          <w:sz w:val="22"/>
          <w:szCs w:val="22"/>
        </w:rPr>
        <w:t xml:space="preserve">he Committee </w:t>
      </w:r>
      <w:r w:rsidR="00F85767" w:rsidRPr="00E6411A">
        <w:rPr>
          <w:sz w:val="22"/>
          <w:szCs w:val="22"/>
        </w:rPr>
        <w:t>accepts the</w:t>
      </w:r>
      <w:r w:rsidR="00C8688E" w:rsidRPr="00E6411A">
        <w:rPr>
          <w:sz w:val="22"/>
          <w:szCs w:val="22"/>
        </w:rPr>
        <w:t xml:space="preserve"> evidence of </w:t>
      </w:r>
      <w:proofErr w:type="spellStart"/>
      <w:r w:rsidR="00C8688E" w:rsidRPr="00E6411A">
        <w:rPr>
          <w:sz w:val="22"/>
          <w:szCs w:val="22"/>
        </w:rPr>
        <w:t>Ms</w:t>
      </w:r>
      <w:proofErr w:type="spellEnd"/>
      <w:r w:rsidR="00C8688E" w:rsidRPr="00E6411A">
        <w:rPr>
          <w:sz w:val="22"/>
          <w:szCs w:val="22"/>
        </w:rPr>
        <w:t xml:space="preserve"> Gray and </w:t>
      </w:r>
      <w:proofErr w:type="spellStart"/>
      <w:r w:rsidR="00C8688E" w:rsidRPr="00E6411A">
        <w:rPr>
          <w:sz w:val="22"/>
          <w:szCs w:val="22"/>
        </w:rPr>
        <w:t>Mr</w:t>
      </w:r>
      <w:proofErr w:type="spellEnd"/>
      <w:r w:rsidR="00C8688E" w:rsidRPr="00E6411A">
        <w:rPr>
          <w:sz w:val="22"/>
          <w:szCs w:val="22"/>
        </w:rPr>
        <w:t xml:space="preserve"> </w:t>
      </w:r>
      <w:proofErr w:type="spellStart"/>
      <w:r w:rsidR="00C8688E" w:rsidRPr="00E6411A">
        <w:rPr>
          <w:sz w:val="22"/>
          <w:szCs w:val="22"/>
        </w:rPr>
        <w:t>Raworth</w:t>
      </w:r>
      <w:proofErr w:type="spellEnd"/>
      <w:r w:rsidR="00C8688E" w:rsidRPr="00E6411A">
        <w:rPr>
          <w:sz w:val="22"/>
          <w:szCs w:val="22"/>
        </w:rPr>
        <w:t xml:space="preserve"> that the architectural and historical</w:t>
      </w:r>
      <w:r w:rsidR="00C8688E" w:rsidRPr="00F85767">
        <w:rPr>
          <w:sz w:val="22"/>
          <w:szCs w:val="22"/>
        </w:rPr>
        <w:t xml:space="preserve"> significance of the Place is primarily related to the Main House, particularly its presentation to Brunswick Street.</w:t>
      </w:r>
      <w:r w:rsidR="00287B5D">
        <w:rPr>
          <w:sz w:val="22"/>
          <w:szCs w:val="22"/>
        </w:rPr>
        <w:t xml:space="preserve"> </w:t>
      </w:r>
      <w:r w:rsidR="00C27E7F">
        <w:rPr>
          <w:sz w:val="22"/>
          <w:szCs w:val="22"/>
        </w:rPr>
        <w:t>The Statement of Significance highlights t</w:t>
      </w:r>
      <w:r w:rsidR="00241225">
        <w:rPr>
          <w:sz w:val="22"/>
          <w:szCs w:val="22"/>
        </w:rPr>
        <w:t xml:space="preserve">he </w:t>
      </w:r>
      <w:r w:rsidR="00C27E7F">
        <w:rPr>
          <w:sz w:val="22"/>
          <w:szCs w:val="22"/>
        </w:rPr>
        <w:t>grand proportions and decorative arcaded façade of the Main House, and the Committee agrees that these elements are critical to an understanding and appreciation of the cultural heritage significance of the Pl</w:t>
      </w:r>
      <w:r w:rsidR="00641EC0">
        <w:rPr>
          <w:sz w:val="22"/>
          <w:szCs w:val="22"/>
        </w:rPr>
        <w:t>ace</w:t>
      </w:r>
      <w:r w:rsidR="00C27E7F">
        <w:rPr>
          <w:sz w:val="22"/>
          <w:szCs w:val="22"/>
        </w:rPr>
        <w:t>.</w:t>
      </w:r>
    </w:p>
    <w:p w14:paraId="2E2BFCE1" w14:textId="499138F6" w:rsidR="006240CB" w:rsidRDefault="00D65DD5" w:rsidP="000411B7">
      <w:pPr>
        <w:pStyle w:val="BP2"/>
        <w:numPr>
          <w:ilvl w:val="0"/>
          <w:numId w:val="3"/>
        </w:numPr>
        <w:tabs>
          <w:tab w:val="clear" w:pos="432"/>
          <w:tab w:val="left" w:pos="709"/>
        </w:tabs>
        <w:ind w:left="567" w:hanging="567"/>
        <w:rPr>
          <w:sz w:val="22"/>
          <w:szCs w:val="22"/>
        </w:rPr>
      </w:pPr>
      <w:r>
        <w:rPr>
          <w:sz w:val="22"/>
          <w:szCs w:val="22"/>
        </w:rPr>
        <w:t xml:space="preserve">The Committee </w:t>
      </w:r>
      <w:r w:rsidR="00641EC0">
        <w:rPr>
          <w:sz w:val="22"/>
          <w:szCs w:val="22"/>
        </w:rPr>
        <w:t xml:space="preserve">also accepts that the Place is significant because of its location within </w:t>
      </w:r>
      <w:r>
        <w:rPr>
          <w:sz w:val="22"/>
          <w:szCs w:val="22"/>
        </w:rPr>
        <w:t>a relatively intact streetscape of predominantly two</w:t>
      </w:r>
      <w:r w:rsidR="00FE221F">
        <w:rPr>
          <w:sz w:val="22"/>
          <w:szCs w:val="22"/>
        </w:rPr>
        <w:t xml:space="preserve"> to three</w:t>
      </w:r>
      <w:r>
        <w:rPr>
          <w:sz w:val="22"/>
          <w:szCs w:val="22"/>
        </w:rPr>
        <w:t>-</w:t>
      </w:r>
      <w:proofErr w:type="spellStart"/>
      <w:r>
        <w:rPr>
          <w:sz w:val="22"/>
          <w:szCs w:val="22"/>
        </w:rPr>
        <w:t>storey</w:t>
      </w:r>
      <w:proofErr w:type="spellEnd"/>
      <w:r>
        <w:rPr>
          <w:sz w:val="22"/>
          <w:szCs w:val="22"/>
        </w:rPr>
        <w:t xml:space="preserve"> Victorian-era buildings</w:t>
      </w:r>
      <w:r w:rsidR="00641EC0">
        <w:rPr>
          <w:sz w:val="22"/>
          <w:szCs w:val="22"/>
        </w:rPr>
        <w:t xml:space="preserve"> in Brunswick Street. As noted in the Statement of Significance, the Place and </w:t>
      </w:r>
      <w:proofErr w:type="spellStart"/>
      <w:r w:rsidR="00641EC0">
        <w:rPr>
          <w:sz w:val="22"/>
          <w:szCs w:val="22"/>
        </w:rPr>
        <w:t>neighbouring</w:t>
      </w:r>
      <w:proofErr w:type="spellEnd"/>
      <w:r w:rsidR="00641EC0">
        <w:rPr>
          <w:sz w:val="22"/>
          <w:szCs w:val="22"/>
        </w:rPr>
        <w:t xml:space="preserve"> heritage buildings demonstrate the </w:t>
      </w:r>
      <w:r w:rsidR="00A06573">
        <w:rPr>
          <w:sz w:val="22"/>
          <w:szCs w:val="22"/>
        </w:rPr>
        <w:t xml:space="preserve">historic </w:t>
      </w:r>
      <w:r w:rsidR="00641EC0">
        <w:rPr>
          <w:sz w:val="22"/>
          <w:szCs w:val="22"/>
        </w:rPr>
        <w:t>character of this part of Fitzroy at the end of the nineteenth century.</w:t>
      </w:r>
    </w:p>
    <w:p w14:paraId="003078FD" w14:textId="24976DC3" w:rsidR="006240CB" w:rsidRDefault="007332DD" w:rsidP="000411B7">
      <w:pPr>
        <w:pStyle w:val="BP2"/>
        <w:numPr>
          <w:ilvl w:val="0"/>
          <w:numId w:val="3"/>
        </w:numPr>
        <w:tabs>
          <w:tab w:val="clear" w:pos="432"/>
          <w:tab w:val="left" w:pos="709"/>
        </w:tabs>
        <w:ind w:left="567" w:hanging="567"/>
        <w:rPr>
          <w:sz w:val="22"/>
          <w:szCs w:val="22"/>
        </w:rPr>
      </w:pPr>
      <w:r>
        <w:rPr>
          <w:sz w:val="22"/>
          <w:szCs w:val="22"/>
        </w:rPr>
        <w:t>T</w:t>
      </w:r>
      <w:r w:rsidR="006240CB">
        <w:rPr>
          <w:sz w:val="22"/>
          <w:szCs w:val="22"/>
        </w:rPr>
        <w:t xml:space="preserve">he Committee considers that the </w:t>
      </w:r>
      <w:r w:rsidR="00A23EAE" w:rsidRPr="006240CB">
        <w:rPr>
          <w:sz w:val="22"/>
          <w:szCs w:val="22"/>
        </w:rPr>
        <w:t xml:space="preserve">existing visual setting </w:t>
      </w:r>
      <w:r w:rsidR="006240CB">
        <w:rPr>
          <w:sz w:val="22"/>
          <w:szCs w:val="22"/>
        </w:rPr>
        <w:t xml:space="preserve">of the Place </w:t>
      </w:r>
      <w:r w:rsidR="00A23EAE" w:rsidRPr="006240CB">
        <w:rPr>
          <w:sz w:val="22"/>
          <w:szCs w:val="22"/>
        </w:rPr>
        <w:t xml:space="preserve">is </w:t>
      </w:r>
      <w:r w:rsidR="006240CB">
        <w:rPr>
          <w:sz w:val="22"/>
          <w:szCs w:val="22"/>
        </w:rPr>
        <w:t xml:space="preserve">highly </w:t>
      </w:r>
      <w:r w:rsidR="00A23EAE" w:rsidRPr="006240CB">
        <w:rPr>
          <w:sz w:val="22"/>
          <w:szCs w:val="22"/>
        </w:rPr>
        <w:t xml:space="preserve">relevant in assessing the </w:t>
      </w:r>
      <w:r w:rsidR="0069241E" w:rsidRPr="006240CB">
        <w:rPr>
          <w:sz w:val="22"/>
          <w:szCs w:val="22"/>
        </w:rPr>
        <w:t xml:space="preserve">heritage impacts of the </w:t>
      </w:r>
      <w:r>
        <w:rPr>
          <w:sz w:val="22"/>
          <w:szCs w:val="22"/>
        </w:rPr>
        <w:t>new works</w:t>
      </w:r>
      <w:r w:rsidR="00D65DD5" w:rsidRPr="006240CB">
        <w:rPr>
          <w:sz w:val="22"/>
          <w:szCs w:val="22"/>
        </w:rPr>
        <w:t xml:space="preserve"> on the </w:t>
      </w:r>
      <w:r w:rsidR="006240CB">
        <w:rPr>
          <w:sz w:val="22"/>
          <w:szCs w:val="22"/>
        </w:rPr>
        <w:t>Place</w:t>
      </w:r>
      <w:r w:rsidR="00F341E2" w:rsidRPr="006240CB">
        <w:rPr>
          <w:sz w:val="22"/>
          <w:szCs w:val="22"/>
        </w:rPr>
        <w:t xml:space="preserve"> and </w:t>
      </w:r>
      <w:r w:rsidR="006240CB">
        <w:rPr>
          <w:sz w:val="22"/>
          <w:szCs w:val="22"/>
        </w:rPr>
        <w:t>its setting.</w:t>
      </w:r>
    </w:p>
    <w:p w14:paraId="7BC35832" w14:textId="4CABE094" w:rsidR="009659D0" w:rsidRDefault="006240CB" w:rsidP="000411B7">
      <w:pPr>
        <w:pStyle w:val="BP2"/>
        <w:numPr>
          <w:ilvl w:val="0"/>
          <w:numId w:val="3"/>
        </w:numPr>
        <w:tabs>
          <w:tab w:val="clear" w:pos="432"/>
          <w:tab w:val="left" w:pos="709"/>
        </w:tabs>
        <w:ind w:left="567" w:hanging="567"/>
        <w:rPr>
          <w:sz w:val="22"/>
          <w:szCs w:val="22"/>
        </w:rPr>
      </w:pPr>
      <w:r w:rsidRPr="00D65DD5">
        <w:rPr>
          <w:sz w:val="22"/>
          <w:szCs w:val="22"/>
        </w:rPr>
        <w:lastRenderedPageBreak/>
        <w:t xml:space="preserve">As noted by </w:t>
      </w:r>
      <w:proofErr w:type="spellStart"/>
      <w:r w:rsidRPr="00D65DD5">
        <w:rPr>
          <w:sz w:val="22"/>
          <w:szCs w:val="22"/>
        </w:rPr>
        <w:t>Mr</w:t>
      </w:r>
      <w:proofErr w:type="spellEnd"/>
      <w:r w:rsidRPr="00D65DD5">
        <w:rPr>
          <w:sz w:val="22"/>
          <w:szCs w:val="22"/>
        </w:rPr>
        <w:t xml:space="preserve"> </w:t>
      </w:r>
      <w:proofErr w:type="spellStart"/>
      <w:r w:rsidRPr="00D65DD5">
        <w:rPr>
          <w:sz w:val="22"/>
          <w:szCs w:val="22"/>
        </w:rPr>
        <w:t>Raworth</w:t>
      </w:r>
      <w:proofErr w:type="spellEnd"/>
      <w:r w:rsidR="006D4B5F">
        <w:rPr>
          <w:sz w:val="22"/>
          <w:szCs w:val="22"/>
        </w:rPr>
        <w:t xml:space="preserve"> and </w:t>
      </w:r>
      <w:proofErr w:type="spellStart"/>
      <w:r w:rsidR="006D4B5F">
        <w:rPr>
          <w:sz w:val="22"/>
          <w:szCs w:val="22"/>
        </w:rPr>
        <w:t>Ms</w:t>
      </w:r>
      <w:proofErr w:type="spellEnd"/>
      <w:r w:rsidR="006D4B5F">
        <w:rPr>
          <w:sz w:val="22"/>
          <w:szCs w:val="22"/>
        </w:rPr>
        <w:t xml:space="preserve"> Gray</w:t>
      </w:r>
      <w:r w:rsidRPr="00D65DD5">
        <w:rPr>
          <w:sz w:val="22"/>
          <w:szCs w:val="22"/>
        </w:rPr>
        <w:t xml:space="preserve">, the </w:t>
      </w:r>
      <w:r>
        <w:rPr>
          <w:sz w:val="22"/>
          <w:szCs w:val="22"/>
        </w:rPr>
        <w:t>Main House</w:t>
      </w:r>
      <w:r w:rsidRPr="00D65DD5">
        <w:rPr>
          <w:sz w:val="22"/>
          <w:szCs w:val="22"/>
        </w:rPr>
        <w:t xml:space="preserve"> </w:t>
      </w:r>
      <w:r>
        <w:rPr>
          <w:sz w:val="22"/>
          <w:szCs w:val="22"/>
        </w:rPr>
        <w:t xml:space="preserve">is </w:t>
      </w:r>
      <w:r w:rsidRPr="00D65DD5">
        <w:rPr>
          <w:sz w:val="22"/>
          <w:szCs w:val="22"/>
        </w:rPr>
        <w:t>already viewed against a backdrop of substantial built form</w:t>
      </w:r>
      <w:r w:rsidR="00DE0976">
        <w:rPr>
          <w:sz w:val="22"/>
          <w:szCs w:val="22"/>
        </w:rPr>
        <w:t xml:space="preserve">. </w:t>
      </w:r>
      <w:r w:rsidR="005B7A6C">
        <w:rPr>
          <w:sz w:val="22"/>
          <w:szCs w:val="22"/>
        </w:rPr>
        <w:t>T</w:t>
      </w:r>
      <w:r w:rsidR="006D4B5F">
        <w:rPr>
          <w:sz w:val="22"/>
          <w:szCs w:val="22"/>
        </w:rPr>
        <w:t xml:space="preserve">he </w:t>
      </w:r>
      <w:r w:rsidRPr="00D65DD5">
        <w:rPr>
          <w:sz w:val="22"/>
          <w:szCs w:val="22"/>
        </w:rPr>
        <w:t>eight-</w:t>
      </w:r>
      <w:proofErr w:type="spellStart"/>
      <w:r w:rsidRPr="00D65DD5">
        <w:rPr>
          <w:sz w:val="22"/>
          <w:szCs w:val="22"/>
        </w:rPr>
        <w:t>storey</w:t>
      </w:r>
      <w:proofErr w:type="spellEnd"/>
      <w:r w:rsidRPr="00D65DD5">
        <w:rPr>
          <w:sz w:val="22"/>
          <w:szCs w:val="22"/>
        </w:rPr>
        <w:t xml:space="preserve"> carpark </w:t>
      </w:r>
      <w:r w:rsidR="005B7A6C">
        <w:rPr>
          <w:sz w:val="22"/>
          <w:szCs w:val="22"/>
        </w:rPr>
        <w:t>to the west of the Subject Site extends</w:t>
      </w:r>
      <w:r w:rsidR="006D4B5F">
        <w:rPr>
          <w:sz w:val="22"/>
          <w:szCs w:val="22"/>
        </w:rPr>
        <w:t xml:space="preserve"> </w:t>
      </w:r>
      <w:r w:rsidRPr="006D4B5F">
        <w:rPr>
          <w:sz w:val="22"/>
          <w:szCs w:val="22"/>
        </w:rPr>
        <w:t>from 7 Brunswick Street to the south to 13 Brunswick Street to the north</w:t>
      </w:r>
      <w:r w:rsidR="005B7A6C">
        <w:rPr>
          <w:sz w:val="22"/>
          <w:szCs w:val="22"/>
        </w:rPr>
        <w:t xml:space="preserve"> and is clearly visible behind the Main House when viewed along Brunswick Street</w:t>
      </w:r>
      <w:r w:rsidR="00DE0976">
        <w:rPr>
          <w:sz w:val="22"/>
          <w:szCs w:val="22"/>
        </w:rPr>
        <w:t xml:space="preserve">. </w:t>
      </w:r>
      <w:r w:rsidR="005B7A6C">
        <w:rPr>
          <w:sz w:val="22"/>
          <w:szCs w:val="22"/>
        </w:rPr>
        <w:t xml:space="preserve">Substantial built form also exists to the south-east of the Subject Site, along Victoria Parade, and </w:t>
      </w:r>
      <w:r w:rsidR="009659D0">
        <w:rPr>
          <w:sz w:val="22"/>
          <w:szCs w:val="22"/>
        </w:rPr>
        <w:t>more</w:t>
      </w:r>
      <w:r w:rsidR="005B7A6C">
        <w:rPr>
          <w:sz w:val="22"/>
          <w:szCs w:val="22"/>
        </w:rPr>
        <w:t xml:space="preserve"> substantial re-development is planned for St. Vincent’s Hospital</w:t>
      </w:r>
      <w:r w:rsidR="00FE221F">
        <w:rPr>
          <w:sz w:val="22"/>
          <w:szCs w:val="22"/>
        </w:rPr>
        <w:t>, generally to the south of the Subject Site</w:t>
      </w:r>
      <w:r w:rsidR="005B7A6C">
        <w:rPr>
          <w:sz w:val="22"/>
          <w:szCs w:val="22"/>
        </w:rPr>
        <w:t xml:space="preserve">. </w:t>
      </w:r>
      <w:r w:rsidR="001337C6">
        <w:rPr>
          <w:sz w:val="22"/>
          <w:szCs w:val="22"/>
        </w:rPr>
        <w:t>Considered in this</w:t>
      </w:r>
      <w:r w:rsidR="005B7A6C">
        <w:rPr>
          <w:sz w:val="22"/>
          <w:szCs w:val="22"/>
        </w:rPr>
        <w:t xml:space="preserve"> </w:t>
      </w:r>
      <w:r w:rsidR="00EE095D">
        <w:rPr>
          <w:sz w:val="22"/>
          <w:szCs w:val="22"/>
        </w:rPr>
        <w:t xml:space="preserve">urban </w:t>
      </w:r>
      <w:proofErr w:type="gramStart"/>
      <w:r w:rsidR="005B7A6C">
        <w:rPr>
          <w:sz w:val="22"/>
          <w:szCs w:val="22"/>
        </w:rPr>
        <w:t>context</w:t>
      </w:r>
      <w:r w:rsidR="001337C6">
        <w:rPr>
          <w:sz w:val="22"/>
          <w:szCs w:val="22"/>
        </w:rPr>
        <w:t>,</w:t>
      </w:r>
      <w:r w:rsidR="005B7A6C">
        <w:rPr>
          <w:sz w:val="22"/>
          <w:szCs w:val="22"/>
        </w:rPr>
        <w:t xml:space="preserve"> and</w:t>
      </w:r>
      <w:proofErr w:type="gramEnd"/>
      <w:r w:rsidR="005B7A6C">
        <w:rPr>
          <w:sz w:val="22"/>
          <w:szCs w:val="22"/>
        </w:rPr>
        <w:t xml:space="preserve"> given that the</w:t>
      </w:r>
      <w:r w:rsidR="003322F2">
        <w:rPr>
          <w:sz w:val="22"/>
          <w:szCs w:val="22"/>
        </w:rPr>
        <w:t xml:space="preserve"> </w:t>
      </w:r>
      <w:r w:rsidR="006D4B5F" w:rsidRPr="006D4B5F">
        <w:rPr>
          <w:sz w:val="22"/>
          <w:szCs w:val="22"/>
        </w:rPr>
        <w:t>new works</w:t>
      </w:r>
      <w:r w:rsidRPr="006D4B5F">
        <w:rPr>
          <w:sz w:val="22"/>
          <w:szCs w:val="22"/>
        </w:rPr>
        <w:t xml:space="preserve"> </w:t>
      </w:r>
      <w:r w:rsidR="00DE0976">
        <w:rPr>
          <w:sz w:val="22"/>
          <w:szCs w:val="22"/>
        </w:rPr>
        <w:t>for</w:t>
      </w:r>
      <w:r w:rsidR="005B7A6C">
        <w:rPr>
          <w:sz w:val="22"/>
          <w:szCs w:val="22"/>
        </w:rPr>
        <w:t xml:space="preserve"> the apartment building </w:t>
      </w:r>
      <w:r w:rsidR="001337C6">
        <w:rPr>
          <w:sz w:val="22"/>
          <w:szCs w:val="22"/>
        </w:rPr>
        <w:t>and the carpark are similar in height and are in such close proximity to each other</w:t>
      </w:r>
      <w:r w:rsidR="005B7A6C">
        <w:rPr>
          <w:sz w:val="22"/>
          <w:szCs w:val="22"/>
        </w:rPr>
        <w:t xml:space="preserve">, </w:t>
      </w:r>
      <w:r w:rsidRPr="006D4B5F">
        <w:rPr>
          <w:sz w:val="22"/>
          <w:szCs w:val="22"/>
        </w:rPr>
        <w:t xml:space="preserve">the Committee considers that the </w:t>
      </w:r>
      <w:r w:rsidR="00EA4A64">
        <w:rPr>
          <w:sz w:val="22"/>
          <w:szCs w:val="22"/>
        </w:rPr>
        <w:t xml:space="preserve">apartment </w:t>
      </w:r>
      <w:r w:rsidR="005B7A6C">
        <w:rPr>
          <w:sz w:val="22"/>
          <w:szCs w:val="22"/>
        </w:rPr>
        <w:t xml:space="preserve">works </w:t>
      </w:r>
      <w:r w:rsidRPr="006D4B5F">
        <w:rPr>
          <w:sz w:val="22"/>
          <w:szCs w:val="22"/>
        </w:rPr>
        <w:t>will not substantially alter the existing visual setting</w:t>
      </w:r>
      <w:r w:rsidR="009659D0">
        <w:rPr>
          <w:sz w:val="22"/>
          <w:szCs w:val="22"/>
        </w:rPr>
        <w:t xml:space="preserve"> of the Place or the surrounding heritage buildings.</w:t>
      </w:r>
    </w:p>
    <w:p w14:paraId="47E6C818" w14:textId="5C0A4DCE" w:rsidR="00641EC0" w:rsidRPr="009659D0" w:rsidRDefault="009659D0" w:rsidP="000411B7">
      <w:pPr>
        <w:pStyle w:val="BP2"/>
        <w:numPr>
          <w:ilvl w:val="0"/>
          <w:numId w:val="3"/>
        </w:numPr>
        <w:tabs>
          <w:tab w:val="clear" w:pos="432"/>
          <w:tab w:val="left" w:pos="709"/>
        </w:tabs>
        <w:ind w:left="567" w:hanging="567"/>
        <w:rPr>
          <w:sz w:val="22"/>
          <w:szCs w:val="22"/>
        </w:rPr>
      </w:pPr>
      <w:r>
        <w:rPr>
          <w:sz w:val="22"/>
          <w:szCs w:val="22"/>
        </w:rPr>
        <w:t>T</w:t>
      </w:r>
      <w:r w:rsidR="00641EC0" w:rsidRPr="009659D0">
        <w:rPr>
          <w:sz w:val="22"/>
          <w:szCs w:val="22"/>
        </w:rPr>
        <w:t xml:space="preserve">he Committee </w:t>
      </w:r>
      <w:r>
        <w:rPr>
          <w:sz w:val="22"/>
          <w:szCs w:val="22"/>
        </w:rPr>
        <w:t xml:space="preserve">also </w:t>
      </w:r>
      <w:r w:rsidR="00641EC0" w:rsidRPr="009659D0">
        <w:rPr>
          <w:sz w:val="22"/>
          <w:szCs w:val="22"/>
        </w:rPr>
        <w:t xml:space="preserve">considers that </w:t>
      </w:r>
      <w:r>
        <w:rPr>
          <w:sz w:val="22"/>
          <w:szCs w:val="22"/>
        </w:rPr>
        <w:t>because the</w:t>
      </w:r>
      <w:r w:rsidR="00641EC0" w:rsidRPr="009659D0">
        <w:rPr>
          <w:sz w:val="22"/>
          <w:szCs w:val="22"/>
        </w:rPr>
        <w:t xml:space="preserve"> </w:t>
      </w:r>
      <w:r w:rsidR="00EA4A64">
        <w:rPr>
          <w:sz w:val="22"/>
          <w:szCs w:val="22"/>
        </w:rPr>
        <w:t>apartment</w:t>
      </w:r>
      <w:r>
        <w:rPr>
          <w:sz w:val="22"/>
          <w:szCs w:val="22"/>
        </w:rPr>
        <w:t xml:space="preserve"> works are</w:t>
      </w:r>
      <w:r w:rsidR="00641EC0" w:rsidRPr="009659D0">
        <w:rPr>
          <w:sz w:val="22"/>
          <w:szCs w:val="22"/>
        </w:rPr>
        <w:t xml:space="preserve"> </w:t>
      </w:r>
      <w:r>
        <w:rPr>
          <w:sz w:val="22"/>
          <w:szCs w:val="22"/>
        </w:rPr>
        <w:t xml:space="preserve">separated </w:t>
      </w:r>
      <w:r w:rsidR="00EE095D">
        <w:rPr>
          <w:sz w:val="22"/>
          <w:szCs w:val="22"/>
        </w:rPr>
        <w:t xml:space="preserve">visually </w:t>
      </w:r>
      <w:r>
        <w:rPr>
          <w:sz w:val="22"/>
          <w:szCs w:val="22"/>
        </w:rPr>
        <w:t>from the Main House</w:t>
      </w:r>
      <w:r w:rsidR="00FE221F">
        <w:rPr>
          <w:sz w:val="22"/>
          <w:szCs w:val="22"/>
        </w:rPr>
        <w:t xml:space="preserve"> above the ground-floor level</w:t>
      </w:r>
      <w:r>
        <w:rPr>
          <w:sz w:val="22"/>
          <w:szCs w:val="22"/>
        </w:rPr>
        <w:t>, a person viewing the Place from Brunswick Street will be able to read the</w:t>
      </w:r>
      <w:r w:rsidR="00641EC0" w:rsidRPr="009659D0">
        <w:rPr>
          <w:sz w:val="22"/>
          <w:szCs w:val="22"/>
        </w:rPr>
        <w:t xml:space="preserve"> Main House as a separate building </w:t>
      </w:r>
      <w:r w:rsidR="003322F2">
        <w:rPr>
          <w:sz w:val="22"/>
          <w:szCs w:val="22"/>
        </w:rPr>
        <w:t xml:space="preserve">and </w:t>
      </w:r>
      <w:r w:rsidRPr="009659D0">
        <w:rPr>
          <w:sz w:val="22"/>
          <w:szCs w:val="22"/>
        </w:rPr>
        <w:t xml:space="preserve">appreciate the key elements that contribute to </w:t>
      </w:r>
      <w:r w:rsidR="003322F2">
        <w:rPr>
          <w:sz w:val="22"/>
          <w:szCs w:val="22"/>
        </w:rPr>
        <w:t>its</w:t>
      </w:r>
      <w:r w:rsidRPr="009659D0">
        <w:rPr>
          <w:sz w:val="22"/>
          <w:szCs w:val="22"/>
        </w:rPr>
        <w:t xml:space="preserve"> architectural and historical significance</w:t>
      </w:r>
      <w:r w:rsidR="00FE221F">
        <w:rPr>
          <w:sz w:val="22"/>
          <w:szCs w:val="22"/>
        </w:rPr>
        <w:t>, in much the same way as is possible at present</w:t>
      </w:r>
      <w:r w:rsidRPr="009659D0">
        <w:rPr>
          <w:sz w:val="22"/>
          <w:szCs w:val="22"/>
        </w:rPr>
        <w:t>.</w:t>
      </w:r>
    </w:p>
    <w:p w14:paraId="29FC2D77" w14:textId="63430384" w:rsidR="00DC1118" w:rsidRDefault="003322F2" w:rsidP="000411B7">
      <w:pPr>
        <w:pStyle w:val="BP2"/>
        <w:numPr>
          <w:ilvl w:val="0"/>
          <w:numId w:val="3"/>
        </w:numPr>
        <w:tabs>
          <w:tab w:val="clear" w:pos="432"/>
          <w:tab w:val="left" w:pos="709"/>
        </w:tabs>
        <w:ind w:left="567" w:hanging="567"/>
        <w:rPr>
          <w:sz w:val="22"/>
          <w:szCs w:val="22"/>
        </w:rPr>
      </w:pPr>
      <w:r>
        <w:rPr>
          <w:sz w:val="22"/>
          <w:szCs w:val="22"/>
        </w:rPr>
        <w:t xml:space="preserve">In relation to the </w:t>
      </w:r>
      <w:r w:rsidR="00DC1118">
        <w:rPr>
          <w:sz w:val="22"/>
          <w:szCs w:val="22"/>
        </w:rPr>
        <w:t xml:space="preserve">heritage character of Brunswick Street, the Committee is </w:t>
      </w:r>
      <w:r w:rsidR="001337C6">
        <w:rPr>
          <w:sz w:val="22"/>
          <w:szCs w:val="22"/>
        </w:rPr>
        <w:t xml:space="preserve">also </w:t>
      </w:r>
      <w:r w:rsidR="00DC1118">
        <w:rPr>
          <w:sz w:val="22"/>
          <w:szCs w:val="22"/>
        </w:rPr>
        <w:t xml:space="preserve">satisfied that the new works will not distort or obscure the significance of the Place and </w:t>
      </w:r>
      <w:proofErr w:type="spellStart"/>
      <w:r w:rsidR="00DC1118">
        <w:rPr>
          <w:sz w:val="22"/>
          <w:szCs w:val="22"/>
        </w:rPr>
        <w:t>neighbouring</w:t>
      </w:r>
      <w:proofErr w:type="spellEnd"/>
      <w:r w:rsidR="00DC1118">
        <w:rPr>
          <w:sz w:val="22"/>
          <w:szCs w:val="22"/>
        </w:rPr>
        <w:t xml:space="preserve"> </w:t>
      </w:r>
      <w:r w:rsidR="006C4465">
        <w:rPr>
          <w:sz w:val="22"/>
          <w:szCs w:val="22"/>
        </w:rPr>
        <w:t xml:space="preserve">heritage </w:t>
      </w:r>
      <w:r w:rsidR="00DC1118">
        <w:rPr>
          <w:sz w:val="22"/>
          <w:szCs w:val="22"/>
        </w:rPr>
        <w:t xml:space="preserve">properties in demonstrating the </w:t>
      </w:r>
      <w:r w:rsidR="00A06573">
        <w:rPr>
          <w:sz w:val="22"/>
          <w:szCs w:val="22"/>
        </w:rPr>
        <w:t xml:space="preserve">historic </w:t>
      </w:r>
      <w:r w:rsidR="00DC1118">
        <w:rPr>
          <w:sz w:val="22"/>
          <w:szCs w:val="22"/>
        </w:rPr>
        <w:t xml:space="preserve">character of this part of Fitzroy at the end of the nineteenth century. </w:t>
      </w:r>
      <w:r w:rsidR="006C4465">
        <w:rPr>
          <w:sz w:val="22"/>
          <w:szCs w:val="22"/>
        </w:rPr>
        <w:t>Although</w:t>
      </w:r>
      <w:r w:rsidR="00DC1118">
        <w:rPr>
          <w:sz w:val="22"/>
          <w:szCs w:val="22"/>
        </w:rPr>
        <w:t xml:space="preserve"> the </w:t>
      </w:r>
      <w:r w:rsidR="00EA4A64">
        <w:rPr>
          <w:sz w:val="22"/>
          <w:szCs w:val="22"/>
        </w:rPr>
        <w:t>apartment</w:t>
      </w:r>
      <w:r w:rsidR="00DC1118">
        <w:rPr>
          <w:sz w:val="22"/>
          <w:szCs w:val="22"/>
        </w:rPr>
        <w:t xml:space="preserve"> works will be visible from certain vantage points along Brunswick Street,</w:t>
      </w:r>
      <w:r w:rsidR="006C4465">
        <w:rPr>
          <w:sz w:val="22"/>
          <w:szCs w:val="22"/>
        </w:rPr>
        <w:t xml:space="preserve"> the Place and surrounding heritage buildings will still present as a cohesive and relatively intact Victorian-era streetscape.</w:t>
      </w:r>
    </w:p>
    <w:p w14:paraId="483DA14E" w14:textId="2C8C1001" w:rsidR="006C4465" w:rsidRPr="00E6411A" w:rsidRDefault="006C4465" w:rsidP="000411B7">
      <w:pPr>
        <w:pStyle w:val="BP2"/>
        <w:numPr>
          <w:ilvl w:val="0"/>
          <w:numId w:val="3"/>
        </w:numPr>
        <w:tabs>
          <w:tab w:val="clear" w:pos="432"/>
          <w:tab w:val="left" w:pos="709"/>
        </w:tabs>
        <w:ind w:left="567" w:hanging="567"/>
        <w:rPr>
          <w:sz w:val="22"/>
          <w:szCs w:val="22"/>
        </w:rPr>
      </w:pPr>
      <w:r w:rsidRPr="00E6411A">
        <w:rPr>
          <w:sz w:val="22"/>
          <w:szCs w:val="22"/>
        </w:rPr>
        <w:t>The Committee also makes the point that the portion of new works for the apartment building that require a permit under the Act is relatively small compared to the floor area and building footprint for the overall apartment building. Most of the apartment building is located outside of the extent of registration and does not need a permit under the Act.</w:t>
      </w:r>
      <w:r w:rsidR="00234D23" w:rsidRPr="00E6411A">
        <w:rPr>
          <w:sz w:val="22"/>
          <w:szCs w:val="22"/>
        </w:rPr>
        <w:t xml:space="preserve"> Having regard to this, the Committee is not persuaded that it is necessary to reduce the height of the apartment building to six-</w:t>
      </w:r>
      <w:proofErr w:type="spellStart"/>
      <w:r w:rsidR="00234D23" w:rsidRPr="00E6411A">
        <w:rPr>
          <w:sz w:val="22"/>
          <w:szCs w:val="22"/>
        </w:rPr>
        <w:t>storeys</w:t>
      </w:r>
      <w:proofErr w:type="spellEnd"/>
      <w:r w:rsidR="00234D23" w:rsidRPr="00E6411A">
        <w:rPr>
          <w:sz w:val="22"/>
          <w:szCs w:val="22"/>
        </w:rPr>
        <w:t xml:space="preserve">, as suggested by </w:t>
      </w:r>
      <w:proofErr w:type="spellStart"/>
      <w:r w:rsidR="00234D23" w:rsidRPr="00E6411A">
        <w:rPr>
          <w:sz w:val="22"/>
          <w:szCs w:val="22"/>
        </w:rPr>
        <w:t>Ms</w:t>
      </w:r>
      <w:proofErr w:type="spellEnd"/>
      <w:r w:rsidR="00234D23" w:rsidRPr="00E6411A">
        <w:rPr>
          <w:sz w:val="22"/>
          <w:szCs w:val="22"/>
        </w:rPr>
        <w:t xml:space="preserve"> Gray. </w:t>
      </w:r>
      <w:r w:rsidR="00FE221F">
        <w:rPr>
          <w:sz w:val="22"/>
          <w:szCs w:val="22"/>
        </w:rPr>
        <w:t xml:space="preserve">Confining the consideration to the works that </w:t>
      </w:r>
      <w:proofErr w:type="gramStart"/>
      <w:r w:rsidR="00FE221F">
        <w:rPr>
          <w:sz w:val="22"/>
          <w:szCs w:val="22"/>
        </w:rPr>
        <w:t>actually require</w:t>
      </w:r>
      <w:proofErr w:type="gramEnd"/>
      <w:r w:rsidR="00FE221F">
        <w:rPr>
          <w:sz w:val="22"/>
          <w:szCs w:val="22"/>
        </w:rPr>
        <w:t xml:space="preserve"> a permit under the Act, as the Committee considers necessary, t</w:t>
      </w:r>
      <w:r w:rsidR="00234D23" w:rsidRPr="00E6411A">
        <w:rPr>
          <w:sz w:val="22"/>
          <w:szCs w:val="22"/>
        </w:rPr>
        <w:t xml:space="preserve">he Committee considers that the heritage impacts of the </w:t>
      </w:r>
      <w:r w:rsidR="00EA4A64" w:rsidRPr="00E6411A">
        <w:rPr>
          <w:sz w:val="22"/>
          <w:szCs w:val="22"/>
        </w:rPr>
        <w:t>apartment</w:t>
      </w:r>
      <w:r w:rsidR="00234D23" w:rsidRPr="00E6411A">
        <w:rPr>
          <w:sz w:val="22"/>
          <w:szCs w:val="22"/>
        </w:rPr>
        <w:t xml:space="preserve"> works</w:t>
      </w:r>
      <w:r w:rsidR="00EE095D" w:rsidRPr="00E6411A">
        <w:rPr>
          <w:sz w:val="22"/>
          <w:szCs w:val="22"/>
        </w:rPr>
        <w:t xml:space="preserve"> are not substantially different</w:t>
      </w:r>
      <w:r w:rsidR="00234D23" w:rsidRPr="00E6411A">
        <w:rPr>
          <w:sz w:val="22"/>
          <w:szCs w:val="22"/>
        </w:rPr>
        <w:t xml:space="preserve"> </w:t>
      </w:r>
      <w:r w:rsidR="00FE221F">
        <w:rPr>
          <w:sz w:val="22"/>
          <w:szCs w:val="22"/>
        </w:rPr>
        <w:t xml:space="preserve">whether </w:t>
      </w:r>
      <w:r w:rsidR="00234D23" w:rsidRPr="00E6411A">
        <w:rPr>
          <w:sz w:val="22"/>
          <w:szCs w:val="22"/>
        </w:rPr>
        <w:t xml:space="preserve">the apartment building is </w:t>
      </w:r>
      <w:r w:rsidR="00FE221F">
        <w:rPr>
          <w:sz w:val="22"/>
          <w:szCs w:val="22"/>
        </w:rPr>
        <w:t xml:space="preserve">reduced to six </w:t>
      </w:r>
      <w:proofErr w:type="spellStart"/>
      <w:r w:rsidR="00FE221F">
        <w:rPr>
          <w:sz w:val="22"/>
          <w:szCs w:val="22"/>
        </w:rPr>
        <w:t>storeys</w:t>
      </w:r>
      <w:proofErr w:type="spellEnd"/>
      <w:r w:rsidR="00FE221F">
        <w:rPr>
          <w:sz w:val="22"/>
          <w:szCs w:val="22"/>
        </w:rPr>
        <w:t xml:space="preserve">, or whether it is to be </w:t>
      </w:r>
      <w:r w:rsidR="00234D23" w:rsidRPr="00E6411A">
        <w:rPr>
          <w:sz w:val="22"/>
          <w:szCs w:val="22"/>
        </w:rPr>
        <w:t>seven</w:t>
      </w:r>
      <w:r w:rsidR="00FE221F">
        <w:rPr>
          <w:sz w:val="22"/>
          <w:szCs w:val="22"/>
        </w:rPr>
        <w:t xml:space="preserve"> </w:t>
      </w:r>
      <w:proofErr w:type="spellStart"/>
      <w:r w:rsidR="00234D23" w:rsidRPr="00E6411A">
        <w:rPr>
          <w:sz w:val="22"/>
          <w:szCs w:val="22"/>
        </w:rPr>
        <w:t>storeys</w:t>
      </w:r>
      <w:proofErr w:type="spellEnd"/>
      <w:r w:rsidR="00234D23" w:rsidRPr="00E6411A">
        <w:rPr>
          <w:sz w:val="22"/>
          <w:szCs w:val="22"/>
        </w:rPr>
        <w:t xml:space="preserve"> as proposed.</w:t>
      </w:r>
    </w:p>
    <w:p w14:paraId="615FE43A" w14:textId="362385CC" w:rsidR="009471FB" w:rsidRPr="009471FB" w:rsidRDefault="009471FB" w:rsidP="009471FB">
      <w:pPr>
        <w:pStyle w:val="BP2"/>
        <w:rPr>
          <w:b/>
          <w:sz w:val="24"/>
          <w:lang w:eastAsia="en-AU"/>
        </w:rPr>
      </w:pPr>
      <w:r>
        <w:rPr>
          <w:b/>
          <w:sz w:val="24"/>
          <w:lang w:eastAsia="en-AU"/>
        </w:rPr>
        <w:t xml:space="preserve">New </w:t>
      </w:r>
      <w:r w:rsidR="00FE3C7E">
        <w:rPr>
          <w:b/>
          <w:sz w:val="24"/>
          <w:lang w:eastAsia="en-AU"/>
        </w:rPr>
        <w:t xml:space="preserve">internal </w:t>
      </w:r>
      <w:r>
        <w:rPr>
          <w:b/>
          <w:sz w:val="24"/>
          <w:lang w:eastAsia="en-AU"/>
        </w:rPr>
        <w:t xml:space="preserve">works to the Main House and </w:t>
      </w:r>
      <w:r w:rsidR="000B52C3">
        <w:rPr>
          <w:b/>
          <w:sz w:val="24"/>
          <w:lang w:eastAsia="en-AU"/>
        </w:rPr>
        <w:t>eastern half</w:t>
      </w:r>
      <w:r>
        <w:rPr>
          <w:b/>
          <w:sz w:val="24"/>
          <w:lang w:eastAsia="en-AU"/>
        </w:rPr>
        <w:t xml:space="preserve"> of the Rear Wing </w:t>
      </w:r>
    </w:p>
    <w:p w14:paraId="1D7C61C1" w14:textId="7E1AD937" w:rsidR="009471FB" w:rsidRPr="003B0BB3" w:rsidRDefault="00605473" w:rsidP="00605473">
      <w:pPr>
        <w:pStyle w:val="BP2"/>
        <w:spacing w:before="240" w:after="240"/>
        <w:jc w:val="both"/>
        <w:rPr>
          <w:bCs/>
          <w:i/>
          <w:spacing w:val="-1"/>
          <w:sz w:val="22"/>
          <w:szCs w:val="22"/>
        </w:rPr>
      </w:pPr>
      <w:r w:rsidRPr="003B0BB3">
        <w:rPr>
          <w:bCs/>
          <w:i/>
          <w:spacing w:val="-1"/>
          <w:sz w:val="22"/>
          <w:szCs w:val="22"/>
        </w:rPr>
        <w:t>S</w:t>
      </w:r>
      <w:r w:rsidR="003B0BB3">
        <w:rPr>
          <w:bCs/>
          <w:i/>
          <w:spacing w:val="-1"/>
          <w:sz w:val="22"/>
          <w:szCs w:val="22"/>
        </w:rPr>
        <w:t>ummary of s</w:t>
      </w:r>
      <w:r w:rsidRPr="003B0BB3">
        <w:rPr>
          <w:bCs/>
          <w:i/>
          <w:spacing w:val="-1"/>
          <w:sz w:val="22"/>
          <w:szCs w:val="22"/>
        </w:rPr>
        <w:t>ubmissions and evidence</w:t>
      </w:r>
    </w:p>
    <w:p w14:paraId="23FC21D4" w14:textId="2B8AFD98" w:rsidR="00FE3C7E" w:rsidRDefault="00354A46"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and </w:t>
      </w:r>
      <w:proofErr w:type="spellStart"/>
      <w:r>
        <w:rPr>
          <w:sz w:val="22"/>
          <w:szCs w:val="22"/>
        </w:rPr>
        <w:t>Ms</w:t>
      </w:r>
      <w:proofErr w:type="spellEnd"/>
      <w:r>
        <w:rPr>
          <w:sz w:val="22"/>
          <w:szCs w:val="22"/>
        </w:rPr>
        <w:t xml:space="preserve"> Gray </w:t>
      </w:r>
      <w:r w:rsidR="00B2399A">
        <w:rPr>
          <w:sz w:val="22"/>
          <w:szCs w:val="22"/>
        </w:rPr>
        <w:t xml:space="preserve">addressed the heritage impacts of </w:t>
      </w:r>
      <w:r>
        <w:rPr>
          <w:sz w:val="22"/>
          <w:szCs w:val="22"/>
        </w:rPr>
        <w:t xml:space="preserve">new </w:t>
      </w:r>
      <w:r w:rsidR="00FE3C7E">
        <w:rPr>
          <w:sz w:val="22"/>
          <w:szCs w:val="22"/>
        </w:rPr>
        <w:t xml:space="preserve">internal </w:t>
      </w:r>
      <w:r>
        <w:rPr>
          <w:sz w:val="22"/>
          <w:szCs w:val="22"/>
        </w:rPr>
        <w:t>works</w:t>
      </w:r>
      <w:r w:rsidR="00287B5D">
        <w:rPr>
          <w:sz w:val="22"/>
          <w:szCs w:val="22"/>
        </w:rPr>
        <w:t xml:space="preserve"> to the</w:t>
      </w:r>
      <w:r>
        <w:rPr>
          <w:sz w:val="22"/>
          <w:szCs w:val="22"/>
        </w:rPr>
        <w:t xml:space="preserve"> eastern half of the Rear Wing and </w:t>
      </w:r>
      <w:r w:rsidR="00CF686C">
        <w:rPr>
          <w:sz w:val="22"/>
          <w:szCs w:val="22"/>
        </w:rPr>
        <w:t xml:space="preserve">the </w:t>
      </w:r>
      <w:r>
        <w:rPr>
          <w:sz w:val="22"/>
          <w:szCs w:val="22"/>
        </w:rPr>
        <w:t>Main House</w:t>
      </w:r>
      <w:r w:rsidR="00FE3C7E">
        <w:rPr>
          <w:sz w:val="22"/>
          <w:szCs w:val="22"/>
        </w:rPr>
        <w:t>. Both noted that the works are focused on the ground floor level which has been extensively modified to accommodate the existing gallery and associated offices.</w:t>
      </w:r>
    </w:p>
    <w:p w14:paraId="1BFF2B31" w14:textId="3CDFC8A3" w:rsidR="00FE3C7E" w:rsidRDefault="00FE3C7E" w:rsidP="000411B7">
      <w:pPr>
        <w:pStyle w:val="BP2"/>
        <w:numPr>
          <w:ilvl w:val="0"/>
          <w:numId w:val="3"/>
        </w:numPr>
        <w:tabs>
          <w:tab w:val="clear" w:pos="432"/>
          <w:tab w:val="left" w:pos="709"/>
        </w:tabs>
        <w:ind w:left="567" w:hanging="567"/>
        <w:rPr>
          <w:sz w:val="22"/>
          <w:szCs w:val="22"/>
        </w:rPr>
      </w:pP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expressed the view that the internal works to the front portion of the Main House will be an improvement on its current </w:t>
      </w:r>
      <w:r w:rsidR="00A3691C">
        <w:rPr>
          <w:sz w:val="22"/>
          <w:szCs w:val="22"/>
        </w:rPr>
        <w:t>integrity</w:t>
      </w:r>
      <w:r w:rsidR="00B2399A">
        <w:rPr>
          <w:sz w:val="22"/>
          <w:szCs w:val="22"/>
        </w:rPr>
        <w:t xml:space="preserve">, noting that </w:t>
      </w:r>
      <w:r>
        <w:rPr>
          <w:sz w:val="22"/>
          <w:szCs w:val="22"/>
        </w:rPr>
        <w:t xml:space="preserve">the works include replacing the existing partition wall </w:t>
      </w:r>
      <w:r w:rsidR="00B2399A">
        <w:rPr>
          <w:sz w:val="22"/>
          <w:szCs w:val="22"/>
        </w:rPr>
        <w:t xml:space="preserve">in the </w:t>
      </w:r>
      <w:r>
        <w:rPr>
          <w:sz w:val="22"/>
          <w:szCs w:val="22"/>
        </w:rPr>
        <w:t>front entry hall with a glass pane</w:t>
      </w:r>
      <w:r w:rsidR="00B2399A">
        <w:rPr>
          <w:sz w:val="22"/>
          <w:szCs w:val="22"/>
        </w:rPr>
        <w:t>l to r</w:t>
      </w:r>
      <w:r>
        <w:rPr>
          <w:sz w:val="22"/>
          <w:szCs w:val="22"/>
        </w:rPr>
        <w:t xml:space="preserve">einstate a visual link between the </w:t>
      </w:r>
      <w:r w:rsidR="001337C6">
        <w:rPr>
          <w:sz w:val="22"/>
          <w:szCs w:val="22"/>
        </w:rPr>
        <w:t xml:space="preserve">front </w:t>
      </w:r>
      <w:r>
        <w:rPr>
          <w:sz w:val="22"/>
          <w:szCs w:val="22"/>
        </w:rPr>
        <w:t xml:space="preserve">entry </w:t>
      </w:r>
      <w:r w:rsidR="001337C6">
        <w:rPr>
          <w:sz w:val="22"/>
          <w:szCs w:val="22"/>
        </w:rPr>
        <w:t xml:space="preserve">hall </w:t>
      </w:r>
      <w:r>
        <w:rPr>
          <w:sz w:val="22"/>
          <w:szCs w:val="22"/>
        </w:rPr>
        <w:t xml:space="preserve">and original main staircase. </w:t>
      </w:r>
      <w:proofErr w:type="spellStart"/>
      <w:r w:rsidR="00B2399A">
        <w:rPr>
          <w:sz w:val="22"/>
          <w:szCs w:val="22"/>
        </w:rPr>
        <w:t>Mr</w:t>
      </w:r>
      <w:proofErr w:type="spellEnd"/>
      <w:r w:rsidR="00B2399A">
        <w:rPr>
          <w:sz w:val="22"/>
          <w:szCs w:val="22"/>
        </w:rPr>
        <w:t xml:space="preserve"> </w:t>
      </w:r>
      <w:proofErr w:type="spellStart"/>
      <w:r w:rsidR="00B2399A">
        <w:rPr>
          <w:sz w:val="22"/>
          <w:szCs w:val="22"/>
        </w:rPr>
        <w:t>Raworth</w:t>
      </w:r>
      <w:proofErr w:type="spellEnd"/>
      <w:r w:rsidR="00B2399A">
        <w:rPr>
          <w:sz w:val="22"/>
          <w:szCs w:val="22"/>
        </w:rPr>
        <w:t xml:space="preserve"> also considered the </w:t>
      </w:r>
      <w:r>
        <w:rPr>
          <w:sz w:val="22"/>
          <w:szCs w:val="22"/>
        </w:rPr>
        <w:t>internal works to the eastern half of the Rear Wing</w:t>
      </w:r>
      <w:r w:rsidR="00B2399A">
        <w:rPr>
          <w:sz w:val="22"/>
          <w:szCs w:val="22"/>
        </w:rPr>
        <w:t xml:space="preserve"> to be reasonable, </w:t>
      </w:r>
      <w:r>
        <w:rPr>
          <w:sz w:val="22"/>
          <w:szCs w:val="22"/>
        </w:rPr>
        <w:t>having regard to the already altered character of this space.</w:t>
      </w:r>
    </w:p>
    <w:p w14:paraId="3A1650D7" w14:textId="4812B738" w:rsidR="00287B5D" w:rsidRDefault="00FE3C7E" w:rsidP="000411B7">
      <w:pPr>
        <w:pStyle w:val="BP2"/>
        <w:numPr>
          <w:ilvl w:val="0"/>
          <w:numId w:val="3"/>
        </w:numPr>
        <w:tabs>
          <w:tab w:val="clear" w:pos="432"/>
          <w:tab w:val="left" w:pos="709"/>
        </w:tabs>
        <w:ind w:left="567" w:hanging="567"/>
        <w:rPr>
          <w:sz w:val="22"/>
          <w:szCs w:val="22"/>
        </w:rPr>
      </w:pPr>
      <w:proofErr w:type="spellStart"/>
      <w:r>
        <w:rPr>
          <w:sz w:val="22"/>
          <w:szCs w:val="22"/>
        </w:rPr>
        <w:lastRenderedPageBreak/>
        <w:t>Ms</w:t>
      </w:r>
      <w:proofErr w:type="spellEnd"/>
      <w:r>
        <w:rPr>
          <w:sz w:val="22"/>
          <w:szCs w:val="22"/>
        </w:rPr>
        <w:t xml:space="preserve"> Gray similarly expressed the view that </w:t>
      </w:r>
      <w:r w:rsidR="00CF686C" w:rsidRPr="00FE3C7E">
        <w:rPr>
          <w:sz w:val="22"/>
          <w:szCs w:val="22"/>
        </w:rPr>
        <w:t>the proposed new internal works will not have a significant impact on the cultural heritage significance of the Place</w:t>
      </w:r>
      <w:r w:rsidR="00B2399A">
        <w:rPr>
          <w:sz w:val="22"/>
          <w:szCs w:val="22"/>
        </w:rPr>
        <w:t>.</w:t>
      </w:r>
    </w:p>
    <w:p w14:paraId="380D309A" w14:textId="1B94FBEF" w:rsidR="00FE3C7E" w:rsidRDefault="00FE3C7E" w:rsidP="000411B7">
      <w:pPr>
        <w:pStyle w:val="BP2"/>
        <w:numPr>
          <w:ilvl w:val="0"/>
          <w:numId w:val="3"/>
        </w:numPr>
        <w:tabs>
          <w:tab w:val="clear" w:pos="432"/>
          <w:tab w:val="left" w:pos="709"/>
        </w:tabs>
        <w:ind w:left="567" w:hanging="567"/>
        <w:rPr>
          <w:sz w:val="22"/>
          <w:szCs w:val="22"/>
        </w:rPr>
      </w:pPr>
      <w:r>
        <w:rPr>
          <w:sz w:val="22"/>
          <w:szCs w:val="22"/>
        </w:rPr>
        <w:t xml:space="preserve">The Executive Director and other submitters did not </w:t>
      </w:r>
      <w:r w:rsidR="00DA34EA">
        <w:rPr>
          <w:sz w:val="22"/>
          <w:szCs w:val="22"/>
        </w:rPr>
        <w:t>make specific submissions about the heritage impacts of the new internal works to the eastern half of the Rear Wing or Main House.</w:t>
      </w:r>
    </w:p>
    <w:p w14:paraId="3D91C79B" w14:textId="3C1A9169" w:rsidR="00DA34EA" w:rsidRPr="00DA34EA" w:rsidRDefault="00DA34EA" w:rsidP="00DA34EA">
      <w:pPr>
        <w:pStyle w:val="BP2"/>
        <w:rPr>
          <w:i/>
          <w:sz w:val="22"/>
          <w:szCs w:val="22"/>
        </w:rPr>
      </w:pPr>
      <w:r w:rsidRPr="00DA34EA">
        <w:rPr>
          <w:i/>
          <w:sz w:val="22"/>
          <w:szCs w:val="22"/>
        </w:rPr>
        <w:t>Discussion and conclusion</w:t>
      </w:r>
    </w:p>
    <w:p w14:paraId="2C68F417" w14:textId="7020F545" w:rsidR="00B2399A" w:rsidRPr="00B2399A" w:rsidRDefault="00DA34EA" w:rsidP="000411B7">
      <w:pPr>
        <w:pStyle w:val="BP2"/>
        <w:numPr>
          <w:ilvl w:val="0"/>
          <w:numId w:val="3"/>
        </w:numPr>
        <w:tabs>
          <w:tab w:val="clear" w:pos="432"/>
          <w:tab w:val="left" w:pos="709"/>
        </w:tabs>
        <w:ind w:left="567" w:hanging="567"/>
        <w:rPr>
          <w:sz w:val="22"/>
          <w:szCs w:val="22"/>
        </w:rPr>
      </w:pPr>
      <w:r>
        <w:rPr>
          <w:sz w:val="22"/>
          <w:szCs w:val="22"/>
        </w:rPr>
        <w:t xml:space="preserve">Having regard to the current </w:t>
      </w:r>
      <w:r w:rsidR="00E0034C">
        <w:rPr>
          <w:sz w:val="22"/>
          <w:szCs w:val="22"/>
        </w:rPr>
        <w:t xml:space="preserve">integrity </w:t>
      </w:r>
      <w:r>
        <w:rPr>
          <w:sz w:val="22"/>
          <w:szCs w:val="22"/>
        </w:rPr>
        <w:t xml:space="preserve">of the ground floor level of the Rear Wing and Main House, the Committee accepts the evidence of </w:t>
      </w:r>
      <w:proofErr w:type="spellStart"/>
      <w:r>
        <w:rPr>
          <w:sz w:val="22"/>
          <w:szCs w:val="22"/>
        </w:rPr>
        <w:t>Mr</w:t>
      </w:r>
      <w:proofErr w:type="spellEnd"/>
      <w:r>
        <w:rPr>
          <w:sz w:val="22"/>
          <w:szCs w:val="22"/>
        </w:rPr>
        <w:t xml:space="preserve"> </w:t>
      </w:r>
      <w:proofErr w:type="spellStart"/>
      <w:r>
        <w:rPr>
          <w:sz w:val="22"/>
          <w:szCs w:val="22"/>
        </w:rPr>
        <w:t>Raworth</w:t>
      </w:r>
      <w:proofErr w:type="spellEnd"/>
      <w:r>
        <w:rPr>
          <w:sz w:val="22"/>
          <w:szCs w:val="22"/>
        </w:rPr>
        <w:t xml:space="preserve"> and </w:t>
      </w:r>
      <w:proofErr w:type="spellStart"/>
      <w:r>
        <w:rPr>
          <w:sz w:val="22"/>
          <w:szCs w:val="22"/>
        </w:rPr>
        <w:t>Ms</w:t>
      </w:r>
      <w:proofErr w:type="spellEnd"/>
      <w:r>
        <w:rPr>
          <w:sz w:val="22"/>
          <w:szCs w:val="22"/>
        </w:rPr>
        <w:t xml:space="preserve"> Gray that the proposed new internal works are reasonable and will not have a detrimental impact on the cultural heritage significance of the Place.</w:t>
      </w:r>
    </w:p>
    <w:p w14:paraId="764D7388" w14:textId="3C25551E" w:rsidR="00B2399A" w:rsidRPr="00B2399A" w:rsidRDefault="00B2399A" w:rsidP="00B2399A">
      <w:pPr>
        <w:pStyle w:val="BP2"/>
        <w:rPr>
          <w:b/>
          <w:sz w:val="22"/>
          <w:szCs w:val="22"/>
        </w:rPr>
      </w:pPr>
      <w:r w:rsidRPr="00B2399A">
        <w:rPr>
          <w:b/>
          <w:sz w:val="22"/>
          <w:szCs w:val="22"/>
        </w:rPr>
        <w:t>Conclusion</w:t>
      </w:r>
    </w:p>
    <w:p w14:paraId="114C77E8" w14:textId="02C072A8" w:rsidR="00B2399A" w:rsidRPr="00B2399A" w:rsidRDefault="00B2399A" w:rsidP="000411B7">
      <w:pPr>
        <w:pStyle w:val="BP2"/>
        <w:numPr>
          <w:ilvl w:val="0"/>
          <w:numId w:val="3"/>
        </w:numPr>
        <w:tabs>
          <w:tab w:val="clear" w:pos="432"/>
          <w:tab w:val="left" w:pos="709"/>
        </w:tabs>
        <w:ind w:left="567" w:hanging="567"/>
        <w:rPr>
          <w:sz w:val="22"/>
          <w:szCs w:val="22"/>
        </w:rPr>
      </w:pPr>
      <w:r>
        <w:rPr>
          <w:sz w:val="22"/>
          <w:szCs w:val="22"/>
        </w:rPr>
        <w:t xml:space="preserve">Having regard to the above reasons, the Committee </w:t>
      </w:r>
      <w:r w:rsidR="00E641E5">
        <w:rPr>
          <w:sz w:val="22"/>
          <w:szCs w:val="22"/>
        </w:rPr>
        <w:t xml:space="preserve">has determined </w:t>
      </w:r>
      <w:r>
        <w:rPr>
          <w:sz w:val="22"/>
          <w:szCs w:val="22"/>
        </w:rPr>
        <w:t xml:space="preserve">that a permit should be granted in respect of the </w:t>
      </w:r>
      <w:r w:rsidR="00EA4A64">
        <w:rPr>
          <w:sz w:val="22"/>
          <w:szCs w:val="22"/>
        </w:rPr>
        <w:t>A</w:t>
      </w:r>
      <w:r>
        <w:rPr>
          <w:sz w:val="22"/>
          <w:szCs w:val="22"/>
        </w:rPr>
        <w:t>pplication subject to conditions.</w:t>
      </w:r>
    </w:p>
    <w:p w14:paraId="56C7C7A0" w14:textId="2193229D" w:rsidR="00605473" w:rsidRDefault="00605473" w:rsidP="00EB2F82">
      <w:pPr>
        <w:pStyle w:val="H3AFTER"/>
        <w:keepNext/>
        <w:spacing w:before="240"/>
        <w:rPr>
          <w:b/>
          <w:sz w:val="24"/>
          <w:lang w:eastAsia="en-AU"/>
        </w:rPr>
      </w:pPr>
      <w:r>
        <w:rPr>
          <w:b/>
          <w:sz w:val="24"/>
          <w:lang w:eastAsia="en-AU"/>
        </w:rPr>
        <w:t>PERMIT CONDITIONS</w:t>
      </w:r>
    </w:p>
    <w:p w14:paraId="6A54ED33" w14:textId="5C719A17" w:rsidR="000D629A" w:rsidRPr="000D629A" w:rsidRDefault="00B2399A" w:rsidP="000411B7">
      <w:pPr>
        <w:pStyle w:val="BP2"/>
        <w:numPr>
          <w:ilvl w:val="0"/>
          <w:numId w:val="3"/>
        </w:numPr>
        <w:tabs>
          <w:tab w:val="clear" w:pos="432"/>
          <w:tab w:val="left" w:pos="709"/>
        </w:tabs>
        <w:ind w:left="567" w:hanging="567"/>
        <w:rPr>
          <w:sz w:val="22"/>
          <w:szCs w:val="22"/>
        </w:rPr>
      </w:pPr>
      <w:bookmarkStart w:id="16" w:name="_Ref11159383"/>
      <w:r>
        <w:rPr>
          <w:sz w:val="22"/>
          <w:szCs w:val="22"/>
        </w:rPr>
        <w:t>The Executive Director proposed n</w:t>
      </w:r>
      <w:r w:rsidR="000D629A">
        <w:rPr>
          <w:sz w:val="22"/>
          <w:szCs w:val="22"/>
        </w:rPr>
        <w:t>ine ‘without prejudice’ draft permit conditions. Draft conditions 1, 2, 3</w:t>
      </w:r>
      <w:r w:rsidR="00BD7F81">
        <w:rPr>
          <w:sz w:val="22"/>
          <w:szCs w:val="22"/>
        </w:rPr>
        <w:t xml:space="preserve">, </w:t>
      </w:r>
      <w:r w:rsidR="000D629A">
        <w:rPr>
          <w:sz w:val="22"/>
          <w:szCs w:val="22"/>
        </w:rPr>
        <w:t>9</w:t>
      </w:r>
      <w:r w:rsidR="00BD7F81">
        <w:rPr>
          <w:sz w:val="22"/>
          <w:szCs w:val="22"/>
        </w:rPr>
        <w:t>, 10 and 11</w:t>
      </w:r>
      <w:r w:rsidR="000D629A">
        <w:rPr>
          <w:sz w:val="22"/>
          <w:szCs w:val="22"/>
        </w:rPr>
        <w:t xml:space="preserve"> are standard in nature and were accepted by the Permit Applicant. The Committee does not intend to deal with these conditions in detail.</w:t>
      </w:r>
      <w:bookmarkEnd w:id="16"/>
    </w:p>
    <w:p w14:paraId="03D94951" w14:textId="3780F40D" w:rsidR="000D629A" w:rsidRDefault="000D629A" w:rsidP="000411B7">
      <w:pPr>
        <w:pStyle w:val="BP2"/>
        <w:numPr>
          <w:ilvl w:val="0"/>
          <w:numId w:val="3"/>
        </w:numPr>
        <w:tabs>
          <w:tab w:val="clear" w:pos="432"/>
          <w:tab w:val="left" w:pos="709"/>
        </w:tabs>
        <w:ind w:left="567" w:hanging="567"/>
        <w:rPr>
          <w:sz w:val="22"/>
          <w:szCs w:val="22"/>
        </w:rPr>
      </w:pPr>
      <w:r>
        <w:rPr>
          <w:sz w:val="22"/>
          <w:szCs w:val="22"/>
        </w:rPr>
        <w:t>Draft condition 4 require</w:t>
      </w:r>
      <w:r w:rsidR="001337C6">
        <w:rPr>
          <w:sz w:val="22"/>
          <w:szCs w:val="22"/>
        </w:rPr>
        <w:t>s</w:t>
      </w:r>
      <w:r>
        <w:rPr>
          <w:sz w:val="22"/>
          <w:szCs w:val="22"/>
        </w:rPr>
        <w:t xml:space="preserve"> the preparation of plans for endorsement by the Executive Director that are generally in accordance with the architectural plans prepared for the Permit Applicant showing the proposed apartment building with seven </w:t>
      </w:r>
      <w:proofErr w:type="spellStart"/>
      <w:r>
        <w:rPr>
          <w:sz w:val="22"/>
          <w:szCs w:val="22"/>
        </w:rPr>
        <w:t>storeys</w:t>
      </w:r>
      <w:proofErr w:type="spellEnd"/>
      <w:r>
        <w:rPr>
          <w:sz w:val="22"/>
          <w:szCs w:val="22"/>
        </w:rPr>
        <w:t xml:space="preserve">. The Committee agrees that this condition is required and has included it as Condition 1 of the permit, as shown in </w:t>
      </w:r>
      <w:r w:rsidRPr="000D629A">
        <w:rPr>
          <w:b/>
          <w:sz w:val="22"/>
          <w:szCs w:val="22"/>
        </w:rPr>
        <w:t>Attachment 2</w:t>
      </w:r>
      <w:r>
        <w:rPr>
          <w:sz w:val="22"/>
          <w:szCs w:val="22"/>
        </w:rPr>
        <w:t>.</w:t>
      </w:r>
    </w:p>
    <w:p w14:paraId="28D20693" w14:textId="730DAA45" w:rsidR="004C795D" w:rsidRPr="00B2367D" w:rsidRDefault="000D629A" w:rsidP="000411B7">
      <w:pPr>
        <w:pStyle w:val="BP2"/>
        <w:numPr>
          <w:ilvl w:val="0"/>
          <w:numId w:val="3"/>
        </w:numPr>
        <w:tabs>
          <w:tab w:val="clear" w:pos="432"/>
          <w:tab w:val="left" w:pos="709"/>
        </w:tabs>
        <w:ind w:left="567" w:hanging="567"/>
        <w:rPr>
          <w:sz w:val="22"/>
          <w:szCs w:val="22"/>
        </w:rPr>
      </w:pPr>
      <w:r>
        <w:rPr>
          <w:sz w:val="22"/>
          <w:szCs w:val="22"/>
        </w:rPr>
        <w:t xml:space="preserve">Draft conditions 5 and 6 relate to the </w:t>
      </w:r>
      <w:r w:rsidR="00C00944">
        <w:rPr>
          <w:sz w:val="22"/>
          <w:szCs w:val="22"/>
        </w:rPr>
        <w:t xml:space="preserve">reinstatement of the </w:t>
      </w:r>
      <w:r w:rsidR="004C795D" w:rsidRPr="004C795D">
        <w:rPr>
          <w:sz w:val="22"/>
        </w:rPr>
        <w:t xml:space="preserve">existing central decorative pediment on the front façade of the </w:t>
      </w:r>
      <w:r w:rsidR="004C795D">
        <w:rPr>
          <w:sz w:val="22"/>
        </w:rPr>
        <w:t>Main House</w:t>
      </w:r>
      <w:r w:rsidR="00630979">
        <w:rPr>
          <w:sz w:val="22"/>
        </w:rPr>
        <w:t xml:space="preserve">. Draft condition 5 requires the reconstruction of the central pediment, flanking dwarf balustrade with balusters, and four decorative urns based </w:t>
      </w:r>
      <w:r w:rsidR="004C795D" w:rsidRPr="004C795D">
        <w:rPr>
          <w:sz w:val="22"/>
        </w:rPr>
        <w:t>on available photographic and other documentary evidence of their origi</w:t>
      </w:r>
      <w:r w:rsidR="00630979">
        <w:rPr>
          <w:sz w:val="22"/>
        </w:rPr>
        <w:t>nal appearance. Draft condition 6 require</w:t>
      </w:r>
      <w:r w:rsidR="001337C6">
        <w:rPr>
          <w:sz w:val="22"/>
        </w:rPr>
        <w:t>s</w:t>
      </w:r>
      <w:r w:rsidR="00630979">
        <w:rPr>
          <w:sz w:val="22"/>
        </w:rPr>
        <w:t xml:space="preserve"> the appointment of an experienced conservation architect to document and supervise the reconstruction works</w:t>
      </w:r>
      <w:r w:rsidR="003E617A">
        <w:rPr>
          <w:sz w:val="22"/>
        </w:rPr>
        <w:t xml:space="preserve"> for the </w:t>
      </w:r>
      <w:r w:rsidR="007E1769">
        <w:rPr>
          <w:sz w:val="22"/>
        </w:rPr>
        <w:t xml:space="preserve">decorative </w:t>
      </w:r>
      <w:r w:rsidR="003E617A">
        <w:rPr>
          <w:sz w:val="22"/>
        </w:rPr>
        <w:t>pediment.</w:t>
      </w:r>
    </w:p>
    <w:p w14:paraId="6007AC73" w14:textId="3A4220FF" w:rsidR="007E1769" w:rsidRPr="000411B7" w:rsidRDefault="007E1769" w:rsidP="00216D26">
      <w:pPr>
        <w:pStyle w:val="BP2"/>
        <w:numPr>
          <w:ilvl w:val="0"/>
          <w:numId w:val="3"/>
        </w:numPr>
        <w:tabs>
          <w:tab w:val="clear" w:pos="432"/>
          <w:tab w:val="left" w:pos="709"/>
        </w:tabs>
        <w:ind w:left="567" w:hanging="567"/>
        <w:rPr>
          <w:sz w:val="22"/>
          <w:szCs w:val="22"/>
        </w:rPr>
      </w:pPr>
      <w:r>
        <w:rPr>
          <w:sz w:val="22"/>
          <w:szCs w:val="22"/>
        </w:rPr>
        <w:t xml:space="preserve">The Permit Applicant supported draft condition 5 in principle but with some revised wording to address the scenario where no photographic or documentary evidence of the original appearance of the decorative pediment is available. The Committee agrees with the proposed revised wording, as shown in Condition 3 in </w:t>
      </w:r>
      <w:r w:rsidRPr="00216D26">
        <w:rPr>
          <w:b/>
          <w:sz w:val="22"/>
          <w:szCs w:val="22"/>
        </w:rPr>
        <w:t>Attachment 2</w:t>
      </w:r>
      <w:r>
        <w:rPr>
          <w:sz w:val="22"/>
          <w:szCs w:val="22"/>
        </w:rPr>
        <w:t>.</w:t>
      </w:r>
    </w:p>
    <w:p w14:paraId="739F9B67" w14:textId="39E6ACF0" w:rsidR="00C00944" w:rsidRDefault="00C00944" w:rsidP="000411B7">
      <w:pPr>
        <w:pStyle w:val="BP2"/>
        <w:numPr>
          <w:ilvl w:val="0"/>
          <w:numId w:val="3"/>
        </w:numPr>
        <w:tabs>
          <w:tab w:val="clear" w:pos="432"/>
          <w:tab w:val="left" w:pos="709"/>
        </w:tabs>
        <w:ind w:left="567" w:hanging="567"/>
        <w:rPr>
          <w:sz w:val="22"/>
          <w:szCs w:val="22"/>
        </w:rPr>
      </w:pPr>
      <w:r>
        <w:rPr>
          <w:sz w:val="22"/>
          <w:szCs w:val="22"/>
        </w:rPr>
        <w:t xml:space="preserve">Draft conditions 7 and 8 require the Permit Applicant to provide a financial security in the </w:t>
      </w:r>
      <w:proofErr w:type="spellStart"/>
      <w:r>
        <w:rPr>
          <w:sz w:val="22"/>
          <w:szCs w:val="22"/>
        </w:rPr>
        <w:t>favour</w:t>
      </w:r>
      <w:proofErr w:type="spellEnd"/>
      <w:r>
        <w:rPr>
          <w:sz w:val="22"/>
          <w:szCs w:val="22"/>
        </w:rPr>
        <w:t xml:space="preserve"> of the Heritage Council, in the amount of $50,000, for the completion of works approved by the permit.</w:t>
      </w:r>
      <w:r w:rsidR="007E1769">
        <w:rPr>
          <w:sz w:val="22"/>
          <w:szCs w:val="22"/>
        </w:rPr>
        <w:t xml:space="preserve"> The Permit Applicant accepts these conditions.</w:t>
      </w:r>
      <w:r w:rsidR="00F60023">
        <w:rPr>
          <w:sz w:val="22"/>
          <w:szCs w:val="22"/>
        </w:rPr>
        <w:t xml:space="preserve"> The Committee considers these conditions to be appropriate given that the proposal involves the partial demolition of the Rear Wing.</w:t>
      </w:r>
    </w:p>
    <w:p w14:paraId="0ADDD646" w14:textId="648840F1" w:rsidR="00F60023" w:rsidRDefault="00BD7F81" w:rsidP="000411B7">
      <w:pPr>
        <w:pStyle w:val="BP2"/>
        <w:numPr>
          <w:ilvl w:val="0"/>
          <w:numId w:val="3"/>
        </w:numPr>
        <w:tabs>
          <w:tab w:val="clear" w:pos="432"/>
          <w:tab w:val="left" w:pos="709"/>
        </w:tabs>
        <w:ind w:left="567" w:hanging="567"/>
        <w:rPr>
          <w:sz w:val="22"/>
          <w:szCs w:val="22"/>
        </w:rPr>
      </w:pPr>
      <w:r>
        <w:rPr>
          <w:sz w:val="22"/>
          <w:szCs w:val="22"/>
        </w:rPr>
        <w:t>The</w:t>
      </w:r>
      <w:r w:rsidR="0012136E">
        <w:rPr>
          <w:sz w:val="22"/>
          <w:szCs w:val="22"/>
        </w:rPr>
        <w:t xml:space="preserve"> </w:t>
      </w:r>
      <w:r>
        <w:rPr>
          <w:sz w:val="22"/>
          <w:szCs w:val="22"/>
        </w:rPr>
        <w:t>demolition works will</w:t>
      </w:r>
      <w:r w:rsidR="0012136E">
        <w:rPr>
          <w:sz w:val="22"/>
          <w:szCs w:val="22"/>
        </w:rPr>
        <w:t xml:space="preserve"> </w:t>
      </w:r>
      <w:r w:rsidR="00DF797B">
        <w:rPr>
          <w:sz w:val="22"/>
          <w:szCs w:val="22"/>
        </w:rPr>
        <w:t>expose the retained internal</w:t>
      </w:r>
      <w:r>
        <w:rPr>
          <w:sz w:val="22"/>
          <w:szCs w:val="22"/>
        </w:rPr>
        <w:t xml:space="preserve"> </w:t>
      </w:r>
      <w:r w:rsidR="00DF797B">
        <w:rPr>
          <w:sz w:val="22"/>
          <w:szCs w:val="22"/>
        </w:rPr>
        <w:t xml:space="preserve">dividing wall </w:t>
      </w:r>
      <w:r>
        <w:rPr>
          <w:sz w:val="22"/>
          <w:szCs w:val="22"/>
        </w:rPr>
        <w:t xml:space="preserve">in the Rear Wing and will expose the </w:t>
      </w:r>
      <w:r w:rsidR="00DF797B">
        <w:rPr>
          <w:sz w:val="22"/>
          <w:szCs w:val="22"/>
        </w:rPr>
        <w:t xml:space="preserve">west-facing </w:t>
      </w:r>
      <w:r w:rsidR="00F74225">
        <w:rPr>
          <w:sz w:val="22"/>
          <w:szCs w:val="22"/>
        </w:rPr>
        <w:t>chimney</w:t>
      </w:r>
      <w:r w:rsidR="00DF797B">
        <w:rPr>
          <w:sz w:val="22"/>
          <w:szCs w:val="22"/>
        </w:rPr>
        <w:t xml:space="preserve"> brea</w:t>
      </w:r>
      <w:r w:rsidR="00F74225">
        <w:rPr>
          <w:sz w:val="22"/>
          <w:szCs w:val="22"/>
        </w:rPr>
        <w:t>s</w:t>
      </w:r>
      <w:r w:rsidR="00DF797B">
        <w:rPr>
          <w:sz w:val="22"/>
          <w:szCs w:val="22"/>
        </w:rPr>
        <w:t>ts</w:t>
      </w:r>
      <w:r w:rsidR="00F74225">
        <w:rPr>
          <w:sz w:val="22"/>
          <w:szCs w:val="22"/>
        </w:rPr>
        <w:t xml:space="preserve"> and fire places</w:t>
      </w:r>
      <w:r w:rsidR="00DF797B">
        <w:rPr>
          <w:sz w:val="22"/>
          <w:szCs w:val="22"/>
        </w:rPr>
        <w:t xml:space="preserve"> in t</w:t>
      </w:r>
      <w:r w:rsidR="009B1036">
        <w:rPr>
          <w:sz w:val="22"/>
          <w:szCs w:val="22"/>
        </w:rPr>
        <w:t>hat wall</w:t>
      </w:r>
      <w:r>
        <w:rPr>
          <w:sz w:val="22"/>
          <w:szCs w:val="22"/>
        </w:rPr>
        <w:t xml:space="preserve">. To ensure that the wall and </w:t>
      </w:r>
      <w:r w:rsidR="00DF797B">
        <w:rPr>
          <w:sz w:val="22"/>
          <w:szCs w:val="22"/>
        </w:rPr>
        <w:t>fireplaces</w:t>
      </w:r>
      <w:r>
        <w:rPr>
          <w:sz w:val="22"/>
          <w:szCs w:val="22"/>
        </w:rPr>
        <w:t xml:space="preserve"> </w:t>
      </w:r>
      <w:r w:rsidR="009B1036">
        <w:rPr>
          <w:sz w:val="22"/>
          <w:szCs w:val="22"/>
        </w:rPr>
        <w:t xml:space="preserve">are appropriately treated and finished, the Committee has included two conditions on the permit that require details </w:t>
      </w:r>
      <w:r>
        <w:rPr>
          <w:sz w:val="22"/>
          <w:szCs w:val="22"/>
        </w:rPr>
        <w:t xml:space="preserve">of their treatment and finishes </w:t>
      </w:r>
      <w:r w:rsidR="009B1036">
        <w:rPr>
          <w:sz w:val="22"/>
          <w:szCs w:val="22"/>
        </w:rPr>
        <w:t xml:space="preserve">to be submitted to the Executive Director for endorsement. These are Conditions 5 and 6 in </w:t>
      </w:r>
      <w:r w:rsidR="009B1036" w:rsidRPr="009B1036">
        <w:rPr>
          <w:b/>
          <w:sz w:val="22"/>
          <w:szCs w:val="22"/>
        </w:rPr>
        <w:t>Attachment 2</w:t>
      </w:r>
      <w:r w:rsidR="009B1036">
        <w:rPr>
          <w:sz w:val="22"/>
          <w:szCs w:val="22"/>
        </w:rPr>
        <w:t>.</w:t>
      </w:r>
    </w:p>
    <w:p w14:paraId="6855A5E9" w14:textId="58E0A5F4" w:rsidR="009B1036" w:rsidRDefault="009B1036" w:rsidP="000411B7">
      <w:pPr>
        <w:pStyle w:val="BP2"/>
        <w:numPr>
          <w:ilvl w:val="0"/>
          <w:numId w:val="3"/>
        </w:numPr>
        <w:tabs>
          <w:tab w:val="clear" w:pos="432"/>
          <w:tab w:val="left" w:pos="709"/>
        </w:tabs>
        <w:ind w:left="567" w:hanging="567"/>
        <w:rPr>
          <w:sz w:val="22"/>
          <w:szCs w:val="22"/>
        </w:rPr>
      </w:pPr>
      <w:proofErr w:type="spellStart"/>
      <w:r>
        <w:rPr>
          <w:sz w:val="22"/>
          <w:szCs w:val="22"/>
        </w:rPr>
        <w:lastRenderedPageBreak/>
        <w:t>Ms</w:t>
      </w:r>
      <w:proofErr w:type="spellEnd"/>
      <w:r>
        <w:rPr>
          <w:sz w:val="22"/>
          <w:szCs w:val="22"/>
        </w:rPr>
        <w:t xml:space="preserve"> Elliot proposed </w:t>
      </w:r>
      <w:r w:rsidR="000D0F95">
        <w:rPr>
          <w:sz w:val="22"/>
          <w:szCs w:val="22"/>
        </w:rPr>
        <w:t xml:space="preserve">the inclusion of </w:t>
      </w:r>
      <w:r>
        <w:rPr>
          <w:sz w:val="22"/>
          <w:szCs w:val="22"/>
        </w:rPr>
        <w:t xml:space="preserve">several conditions </w:t>
      </w:r>
      <w:r w:rsidR="000D0F95">
        <w:rPr>
          <w:sz w:val="22"/>
          <w:szCs w:val="22"/>
        </w:rPr>
        <w:t xml:space="preserve">on the permit. The Committee </w:t>
      </w:r>
      <w:r w:rsidR="005E00CB">
        <w:rPr>
          <w:sz w:val="22"/>
          <w:szCs w:val="22"/>
        </w:rPr>
        <w:t xml:space="preserve">intends to deal only </w:t>
      </w:r>
      <w:r w:rsidR="000D0F95">
        <w:rPr>
          <w:sz w:val="22"/>
          <w:szCs w:val="22"/>
        </w:rPr>
        <w:t xml:space="preserve">with </w:t>
      </w:r>
      <w:r w:rsidR="005E00CB">
        <w:rPr>
          <w:sz w:val="22"/>
          <w:szCs w:val="22"/>
        </w:rPr>
        <w:t xml:space="preserve">two of those proposed </w:t>
      </w:r>
      <w:r w:rsidR="000D0F95">
        <w:rPr>
          <w:sz w:val="22"/>
          <w:szCs w:val="22"/>
        </w:rPr>
        <w:t>conditions in detail</w:t>
      </w:r>
      <w:r w:rsidR="005E00CB">
        <w:rPr>
          <w:sz w:val="22"/>
          <w:szCs w:val="22"/>
        </w:rPr>
        <w:t xml:space="preserve">. The first </w:t>
      </w:r>
      <w:r w:rsidR="000D0F95">
        <w:rPr>
          <w:sz w:val="22"/>
          <w:szCs w:val="22"/>
        </w:rPr>
        <w:t>condition relat</w:t>
      </w:r>
      <w:r w:rsidR="005E00CB">
        <w:rPr>
          <w:sz w:val="22"/>
          <w:szCs w:val="22"/>
        </w:rPr>
        <w:t>e</w:t>
      </w:r>
      <w:r w:rsidR="00F74225">
        <w:rPr>
          <w:sz w:val="22"/>
          <w:szCs w:val="22"/>
        </w:rPr>
        <w:t>s</w:t>
      </w:r>
      <w:r w:rsidR="000D0F95">
        <w:rPr>
          <w:sz w:val="22"/>
          <w:szCs w:val="22"/>
        </w:rPr>
        <w:t xml:space="preserve"> to the southern wall of the Rear Wing. </w:t>
      </w:r>
      <w:proofErr w:type="spellStart"/>
      <w:r w:rsidR="000D0F95">
        <w:rPr>
          <w:sz w:val="22"/>
          <w:szCs w:val="22"/>
        </w:rPr>
        <w:t>Ms</w:t>
      </w:r>
      <w:proofErr w:type="spellEnd"/>
      <w:r w:rsidR="000D0F95">
        <w:rPr>
          <w:sz w:val="22"/>
          <w:szCs w:val="22"/>
        </w:rPr>
        <w:t xml:space="preserve"> Elliot suggested that the original door and original window openings in the southern wall at ground level</w:t>
      </w:r>
      <w:r w:rsidR="005E00CB">
        <w:rPr>
          <w:sz w:val="22"/>
          <w:szCs w:val="22"/>
        </w:rPr>
        <w:t xml:space="preserve"> should be reinstated</w:t>
      </w:r>
      <w:r w:rsidR="005E00CB" w:rsidRPr="005E00CB">
        <w:rPr>
          <w:sz w:val="22"/>
          <w:szCs w:val="22"/>
        </w:rPr>
        <w:t xml:space="preserve"> </w:t>
      </w:r>
      <w:r w:rsidR="005E00CB">
        <w:rPr>
          <w:sz w:val="22"/>
          <w:szCs w:val="22"/>
        </w:rPr>
        <w:t>(even if they remain inoperative)</w:t>
      </w:r>
      <w:r w:rsidR="000D0F95">
        <w:rPr>
          <w:sz w:val="22"/>
          <w:szCs w:val="22"/>
        </w:rPr>
        <w:t xml:space="preserve">, and </w:t>
      </w:r>
      <w:r w:rsidR="005E00CB">
        <w:rPr>
          <w:sz w:val="22"/>
          <w:szCs w:val="22"/>
        </w:rPr>
        <w:t xml:space="preserve">that </w:t>
      </w:r>
      <w:r w:rsidR="000D0F95">
        <w:rPr>
          <w:sz w:val="22"/>
          <w:szCs w:val="22"/>
        </w:rPr>
        <w:t>the original window openings in the southern wall</w:t>
      </w:r>
      <w:r w:rsidR="005E00CB">
        <w:rPr>
          <w:sz w:val="22"/>
          <w:szCs w:val="22"/>
        </w:rPr>
        <w:t xml:space="preserve"> at the </w:t>
      </w:r>
      <w:proofErr w:type="gramStart"/>
      <w:r w:rsidR="005E00CB">
        <w:rPr>
          <w:sz w:val="22"/>
          <w:szCs w:val="22"/>
        </w:rPr>
        <w:t>first floor</w:t>
      </w:r>
      <w:proofErr w:type="gramEnd"/>
      <w:r w:rsidR="005E00CB">
        <w:rPr>
          <w:sz w:val="22"/>
          <w:szCs w:val="22"/>
        </w:rPr>
        <w:t xml:space="preserve"> level should be restored. The Committee supports this suggestion and has included a condition to that effect (see Condition 7 in </w:t>
      </w:r>
      <w:r w:rsidR="005E00CB" w:rsidRPr="005E00CB">
        <w:rPr>
          <w:b/>
          <w:sz w:val="22"/>
          <w:szCs w:val="22"/>
        </w:rPr>
        <w:t>Attachment 2</w:t>
      </w:r>
      <w:r w:rsidR="005E00CB">
        <w:rPr>
          <w:sz w:val="22"/>
          <w:szCs w:val="22"/>
        </w:rPr>
        <w:t>).</w:t>
      </w:r>
    </w:p>
    <w:p w14:paraId="2003B583" w14:textId="7D0199A2" w:rsidR="0025556A" w:rsidRPr="0025556A" w:rsidRDefault="005E00CB" w:rsidP="0025556A">
      <w:pPr>
        <w:pStyle w:val="BP2"/>
        <w:numPr>
          <w:ilvl w:val="0"/>
          <w:numId w:val="3"/>
        </w:numPr>
        <w:tabs>
          <w:tab w:val="clear" w:pos="432"/>
          <w:tab w:val="left" w:pos="709"/>
        </w:tabs>
        <w:ind w:left="567" w:hanging="567"/>
        <w:rPr>
          <w:sz w:val="22"/>
          <w:szCs w:val="22"/>
        </w:rPr>
      </w:pPr>
      <w:bookmarkStart w:id="17" w:name="_Ref11941009"/>
      <w:r>
        <w:rPr>
          <w:sz w:val="22"/>
          <w:szCs w:val="22"/>
        </w:rPr>
        <w:t xml:space="preserve">The second condition proposed by </w:t>
      </w:r>
      <w:proofErr w:type="spellStart"/>
      <w:r>
        <w:rPr>
          <w:sz w:val="22"/>
          <w:szCs w:val="22"/>
        </w:rPr>
        <w:t>Ms</w:t>
      </w:r>
      <w:proofErr w:type="spellEnd"/>
      <w:r>
        <w:rPr>
          <w:sz w:val="22"/>
          <w:szCs w:val="22"/>
        </w:rPr>
        <w:t xml:space="preserve"> Elliot relates to an archaeological investigation of the Subject Site. Given that the Place </w:t>
      </w:r>
      <w:r w:rsidR="0025556A">
        <w:rPr>
          <w:sz w:val="22"/>
          <w:szCs w:val="22"/>
        </w:rPr>
        <w:t>has not been</w:t>
      </w:r>
      <w:r>
        <w:rPr>
          <w:sz w:val="22"/>
          <w:szCs w:val="22"/>
        </w:rPr>
        <w:t xml:space="preserve"> identified as being of archaeological significance in the Statement of Significance</w:t>
      </w:r>
      <w:r w:rsidR="0025556A">
        <w:rPr>
          <w:sz w:val="22"/>
          <w:szCs w:val="22"/>
        </w:rPr>
        <w:t xml:space="preserve"> and the Subject Site is not included in the Heritage Inventory</w:t>
      </w:r>
      <w:r w:rsidR="00F74225">
        <w:rPr>
          <w:sz w:val="22"/>
          <w:szCs w:val="22"/>
        </w:rPr>
        <w:t xml:space="preserve"> established under the </w:t>
      </w:r>
      <w:r w:rsidR="00EA4A64">
        <w:rPr>
          <w:sz w:val="22"/>
          <w:szCs w:val="22"/>
        </w:rPr>
        <w:t xml:space="preserve">2017 </w:t>
      </w:r>
      <w:r w:rsidR="00F74225">
        <w:rPr>
          <w:sz w:val="22"/>
          <w:szCs w:val="22"/>
        </w:rPr>
        <w:t>Act</w:t>
      </w:r>
      <w:r w:rsidR="0025556A">
        <w:rPr>
          <w:sz w:val="22"/>
          <w:szCs w:val="22"/>
        </w:rPr>
        <w:t xml:space="preserve">, the Committee considers that the general condition proposed by the Executive Director in respect of the discovery of any </w:t>
      </w:r>
      <w:r w:rsidR="0025556A" w:rsidRPr="0025556A">
        <w:rPr>
          <w:sz w:val="22"/>
        </w:rPr>
        <w:t>historical archaeological artefacts or deposits</w:t>
      </w:r>
      <w:r w:rsidR="0025556A">
        <w:rPr>
          <w:sz w:val="22"/>
        </w:rPr>
        <w:t xml:space="preserve"> </w:t>
      </w:r>
      <w:r w:rsidR="00F74225">
        <w:rPr>
          <w:sz w:val="22"/>
        </w:rPr>
        <w:t xml:space="preserve">on the site </w:t>
      </w:r>
      <w:r w:rsidR="0025556A">
        <w:rPr>
          <w:sz w:val="22"/>
        </w:rPr>
        <w:t xml:space="preserve">is adequate (see Condition </w:t>
      </w:r>
      <w:r w:rsidR="00BD7F81">
        <w:rPr>
          <w:sz w:val="22"/>
        </w:rPr>
        <w:t xml:space="preserve">13 in </w:t>
      </w:r>
      <w:r w:rsidR="00BD7F81" w:rsidRPr="00BD7F81">
        <w:rPr>
          <w:b/>
          <w:sz w:val="22"/>
        </w:rPr>
        <w:t>Attachment 2</w:t>
      </w:r>
      <w:r w:rsidR="00BD7F81">
        <w:rPr>
          <w:sz w:val="22"/>
        </w:rPr>
        <w:t>).</w:t>
      </w:r>
      <w:bookmarkEnd w:id="17"/>
    </w:p>
    <w:p w14:paraId="7DF47B1A" w14:textId="4942275B" w:rsidR="00A423B6" w:rsidRPr="00AE03B1" w:rsidRDefault="00A423B6" w:rsidP="00EB2F82">
      <w:pPr>
        <w:pStyle w:val="H3AFTER"/>
        <w:keepNext/>
        <w:spacing w:before="240"/>
        <w:rPr>
          <w:b/>
          <w:sz w:val="24"/>
          <w:lang w:eastAsia="en-AU"/>
        </w:rPr>
      </w:pPr>
      <w:r w:rsidRPr="00AE03B1">
        <w:rPr>
          <w:b/>
          <w:sz w:val="24"/>
          <w:lang w:eastAsia="en-AU"/>
        </w:rPr>
        <w:t>CONCLUSION</w:t>
      </w:r>
    </w:p>
    <w:p w14:paraId="516A8170" w14:textId="1471CD7E" w:rsidR="00A423B6" w:rsidRPr="001337C6" w:rsidRDefault="005664DE" w:rsidP="000411B7">
      <w:pPr>
        <w:pStyle w:val="BP2"/>
        <w:numPr>
          <w:ilvl w:val="0"/>
          <w:numId w:val="2"/>
        </w:numPr>
        <w:tabs>
          <w:tab w:val="clear" w:pos="432"/>
          <w:tab w:val="left" w:pos="567"/>
        </w:tabs>
        <w:ind w:left="567" w:hanging="567"/>
        <w:rPr>
          <w:sz w:val="22"/>
          <w:szCs w:val="22"/>
        </w:rPr>
      </w:pPr>
      <w:r w:rsidRPr="00EB2F82">
        <w:rPr>
          <w:sz w:val="22"/>
          <w:szCs w:val="22"/>
        </w:rPr>
        <w:t xml:space="preserve">After considering all submissions received in relation to the permit review, and after conducting a hearing, the Heritage Council has determined pursuant to section 108(7)(c) of the </w:t>
      </w:r>
      <w:r w:rsidRPr="00EB2F82">
        <w:rPr>
          <w:i/>
          <w:sz w:val="22"/>
          <w:szCs w:val="22"/>
        </w:rPr>
        <w:t>Heritage Act 2017</w:t>
      </w:r>
      <w:r w:rsidRPr="00EB2F82">
        <w:rPr>
          <w:sz w:val="22"/>
          <w:szCs w:val="22"/>
        </w:rPr>
        <w:t xml:space="preserve"> to set aside the determination under review and make another determination in substitution for it, by issuing Permit No. P26809 with conditions (</w:t>
      </w:r>
      <w:r w:rsidRPr="00EB2F82">
        <w:rPr>
          <w:b/>
          <w:sz w:val="22"/>
          <w:szCs w:val="22"/>
        </w:rPr>
        <w:t xml:space="preserve">Attachment </w:t>
      </w:r>
      <w:r w:rsidR="000B52C3">
        <w:rPr>
          <w:b/>
          <w:sz w:val="22"/>
          <w:szCs w:val="22"/>
        </w:rPr>
        <w:t>2</w:t>
      </w:r>
      <w:r w:rsidRPr="000B52C3">
        <w:rPr>
          <w:sz w:val="22"/>
          <w:szCs w:val="22"/>
        </w:rPr>
        <w:t>).</w:t>
      </w:r>
    </w:p>
    <w:p w14:paraId="72A47D81" w14:textId="77777777" w:rsidR="00C25D14" w:rsidRPr="00C25D14" w:rsidRDefault="00C25D14" w:rsidP="00E22470">
      <w:pPr>
        <w:widowControl w:val="0"/>
        <w:tabs>
          <w:tab w:val="left" w:pos="900"/>
        </w:tabs>
        <w:ind w:left="142" w:right="-20"/>
      </w:pPr>
    </w:p>
    <w:p w14:paraId="68CE311E" w14:textId="3C49AAC4" w:rsidR="00AA0AFD" w:rsidRDefault="00AA0AFD" w:rsidP="00FA3356">
      <w:pPr>
        <w:numPr>
          <w:ilvl w:val="0"/>
          <w:numId w:val="1"/>
        </w:numPr>
        <w:ind w:left="0"/>
        <w:jc w:val="both"/>
        <w:rPr>
          <w:sz w:val="23"/>
          <w:szCs w:val="23"/>
          <w:lang w:val="en-US" w:eastAsia="en-AU"/>
        </w:rPr>
        <w:sectPr w:rsidR="00AA0AFD" w:rsidSect="00C85E4B">
          <w:headerReference w:type="even" r:id="rId14"/>
          <w:headerReference w:type="default" r:id="rId15"/>
          <w:footerReference w:type="even" r:id="rId16"/>
          <w:footerReference w:type="default" r:id="rId17"/>
          <w:headerReference w:type="first" r:id="rId18"/>
          <w:footerReference w:type="first" r:id="rId19"/>
          <w:pgSz w:w="11907" w:h="16840" w:code="9"/>
          <w:pgMar w:top="1541" w:right="1701" w:bottom="1418" w:left="1701" w:header="567" w:footer="567" w:gutter="0"/>
          <w:cols w:space="720"/>
          <w:titlePg/>
          <w:docGrid w:linePitch="360"/>
        </w:sectPr>
      </w:pPr>
    </w:p>
    <w:p w14:paraId="1C570557" w14:textId="4F7BA03F" w:rsidR="00C85E4B" w:rsidRPr="00C85E4B" w:rsidRDefault="00C85E4B" w:rsidP="00C85E4B">
      <w:pPr>
        <w:pStyle w:val="H2AFTER"/>
        <w:rPr>
          <w:color w:val="AA1E2E"/>
        </w:rPr>
      </w:pPr>
      <w:r w:rsidRPr="00694F21">
        <w:rPr>
          <w:color w:val="AA1E2E"/>
        </w:rPr>
        <w:lastRenderedPageBreak/>
        <w:t>ATTACHMENT 1</w:t>
      </w:r>
    </w:p>
    <w:p w14:paraId="26E6AFCE" w14:textId="77777777" w:rsidR="009A43E6" w:rsidRDefault="009A43E6" w:rsidP="009A43E6">
      <w:pPr>
        <w:pStyle w:val="H2AFTER"/>
        <w:rPr>
          <w:sz w:val="22"/>
        </w:rPr>
      </w:pPr>
      <w:r>
        <w:rPr>
          <w:sz w:val="22"/>
        </w:rPr>
        <w:t>SECTION 101 OF THE HERITAGE ACT 2017</w:t>
      </w:r>
    </w:p>
    <w:p w14:paraId="7AF32828" w14:textId="77777777" w:rsidR="009A43E6" w:rsidRPr="00A30E5D" w:rsidRDefault="009A43E6" w:rsidP="009A43E6">
      <w:pPr>
        <w:pStyle w:val="DraftHeading1"/>
        <w:tabs>
          <w:tab w:val="right" w:pos="680"/>
        </w:tabs>
        <w:ind w:left="567" w:right="-567" w:hanging="567"/>
        <w:rPr>
          <w:rFonts w:ascii="Arial" w:eastAsiaTheme="minorEastAsia" w:hAnsi="Arial" w:cs="Arial"/>
          <w:color w:val="323E48"/>
          <w:sz w:val="22"/>
          <w:szCs w:val="22"/>
          <w:lang w:val="en-US" w:bidi="hi-IN"/>
        </w:rPr>
      </w:pPr>
      <w:bookmarkStart w:id="18" w:name="_Toc528317795"/>
      <w:r w:rsidRPr="00A30E5D">
        <w:rPr>
          <w:rFonts w:ascii="Arial" w:eastAsiaTheme="minorEastAsia" w:hAnsi="Arial" w:cs="Arial"/>
          <w:color w:val="323E48"/>
          <w:sz w:val="22"/>
          <w:szCs w:val="22"/>
          <w:lang w:val="en-US" w:bidi="hi-IN"/>
        </w:rPr>
        <w:t>101</w:t>
      </w:r>
      <w:r w:rsidRPr="00A30E5D">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b/>
        <w:t>Determination of permit applications</w:t>
      </w:r>
      <w:bookmarkEnd w:id="18"/>
    </w:p>
    <w:p w14:paraId="5D587AD2" w14:textId="77777777" w:rsidR="009A43E6" w:rsidRPr="00A30E5D" w:rsidRDefault="009A43E6" w:rsidP="009A43E6">
      <w:pPr>
        <w:pStyle w:val="DraftHeading2"/>
        <w:tabs>
          <w:tab w:val="right" w:pos="1247"/>
        </w:tabs>
        <w:ind w:left="993" w:hanging="426"/>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(1)</w:t>
      </w:r>
      <w:r w:rsidRPr="00A30E5D">
        <w:rPr>
          <w:rFonts w:ascii="Arial" w:eastAsiaTheme="minorEastAsia" w:hAnsi="Arial" w:cs="Arial"/>
          <w:color w:val="323E48"/>
          <w:sz w:val="22"/>
          <w:szCs w:val="22"/>
          <w:lang w:val="en-US" w:bidi="hi-IN"/>
        </w:rPr>
        <w:tab/>
        <w:t>After considering an application the Executive Director may—</w:t>
      </w:r>
    </w:p>
    <w:p w14:paraId="266CA089" w14:textId="77777777" w:rsidR="009A43E6" w:rsidRPr="00A30E5D" w:rsidRDefault="009A43E6" w:rsidP="009A43E6">
      <w:pPr>
        <w:pStyle w:val="DraftHeading3"/>
        <w:ind w:left="1560" w:hanging="567"/>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approve the application and—</w:t>
      </w:r>
    </w:p>
    <w:p w14:paraId="30575DDE" w14:textId="77777777" w:rsidR="009A43E6"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Pr>
          <w:rFonts w:ascii="Arial" w:eastAsiaTheme="minorEastAsia" w:hAnsi="Arial" w:cs="Arial"/>
          <w:color w:val="323E48"/>
          <w:sz w:val="22"/>
          <w:szCs w:val="22"/>
          <w:lang w:val="en-US" w:bidi="hi-IN"/>
        </w:rPr>
        <w:tab/>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issue the permit for the proposed works or activities; or</w:t>
      </w:r>
    </w:p>
    <w:p w14:paraId="22B8ED09"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(ii)</w:t>
      </w:r>
      <w:r w:rsidRPr="00A30E5D">
        <w:rPr>
          <w:rFonts w:ascii="Arial" w:eastAsiaTheme="minorEastAsia" w:hAnsi="Arial" w:cs="Arial"/>
          <w:color w:val="323E48"/>
          <w:sz w:val="22"/>
          <w:szCs w:val="22"/>
          <w:lang w:val="en-US" w:bidi="hi-IN"/>
        </w:rPr>
        <w:tab/>
        <w:t>issue the permit for some of the proposed works or activities specified in the application; or</w:t>
      </w:r>
    </w:p>
    <w:p w14:paraId="2B6A2E83" w14:textId="77777777" w:rsidR="009A43E6" w:rsidRPr="00A30E5D" w:rsidRDefault="009A43E6" w:rsidP="009A43E6">
      <w:pPr>
        <w:pStyle w:val="DraftHeading3"/>
        <w:ind w:left="1560" w:hanging="567"/>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(b)</w:t>
      </w:r>
      <w:r w:rsidRPr="00A30E5D">
        <w:rPr>
          <w:rFonts w:ascii="Arial" w:eastAsiaTheme="minorEastAsia" w:hAnsi="Arial" w:cs="Arial"/>
          <w:color w:val="323E48"/>
          <w:sz w:val="22"/>
          <w:szCs w:val="22"/>
          <w:lang w:val="en-US" w:bidi="hi-IN"/>
        </w:rPr>
        <w:tab/>
        <w:t>refuse the application.</w:t>
      </w:r>
    </w:p>
    <w:p w14:paraId="238732EE" w14:textId="77777777" w:rsidR="009A43E6" w:rsidRPr="00A30E5D" w:rsidRDefault="009A43E6" w:rsidP="009A43E6">
      <w:pPr>
        <w:pStyle w:val="DraftHeading2"/>
        <w:ind w:left="993" w:hanging="426"/>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(2)</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In determining whether to approve an application for a permit, the Executive Director must consider the following—</w:t>
      </w:r>
    </w:p>
    <w:p w14:paraId="14B9980D"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ab/>
        <w:t>(a)</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extent to which the application, if approved, would affect the cultural heritage significance of the registered place or registered object;</w:t>
      </w:r>
    </w:p>
    <w:p w14:paraId="2F0AD80E"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(b)</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extent to which the application, if refused, would affect the reasonable or economic use of the registered place or registered object;</w:t>
      </w:r>
    </w:p>
    <w:p w14:paraId="4E0F66CE"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(c)</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any submissions made under section 95 or 100;</w:t>
      </w:r>
    </w:p>
    <w:p w14:paraId="3FE7BEE2" w14:textId="77777777" w:rsidR="009A43E6"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(d)</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if the applicant is a public authority, the extent to which the application, if refused, would unreasonably detrimentally affect the ability of the public authority to perform a statutory duty specified in the application;</w:t>
      </w:r>
    </w:p>
    <w:p w14:paraId="3892B9F8" w14:textId="77777777" w:rsidR="009A43E6" w:rsidRPr="00A30E5D" w:rsidRDefault="009A43E6" w:rsidP="009A43E6">
      <w:pPr>
        <w:pStyle w:val="DraftHeading3"/>
        <w:tabs>
          <w:tab w:val="right" w:pos="1276"/>
        </w:tabs>
        <w:ind w:left="1560" w:hanging="1871"/>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b/>
        <w:t>(e)</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if the application relates to a listed place or to a registered place or registered object in a World Heritage Environs Area, the extent to which the application, if approved, would affect—</w:t>
      </w:r>
    </w:p>
    <w:p w14:paraId="6FF53F13"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Pr>
          <w:rFonts w:ascii="Arial" w:eastAsiaTheme="minorEastAsia" w:hAnsi="Arial" w:cs="Arial"/>
          <w:color w:val="323E48"/>
          <w:sz w:val="22"/>
          <w:szCs w:val="22"/>
          <w:lang w:val="en-US" w:bidi="hi-IN"/>
        </w:rPr>
        <w:tab/>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the world heritage values of the listed place; or</w:t>
      </w:r>
    </w:p>
    <w:p w14:paraId="2E81AFE5" w14:textId="77777777" w:rsidR="009A43E6"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(ii)</w:t>
      </w:r>
      <w:r w:rsidRPr="00A30E5D">
        <w:rPr>
          <w:rFonts w:ascii="Arial" w:eastAsiaTheme="minorEastAsia" w:hAnsi="Arial" w:cs="Arial"/>
          <w:color w:val="323E48"/>
          <w:sz w:val="22"/>
          <w:szCs w:val="22"/>
          <w:lang w:val="en-US" w:bidi="hi-IN"/>
        </w:rPr>
        <w:tab/>
        <w:t>any relevant Approved World Heritage Strategy Plan;</w:t>
      </w:r>
    </w:p>
    <w:p w14:paraId="40459E90" w14:textId="77777777" w:rsidR="009A43E6" w:rsidRPr="00A30E5D" w:rsidRDefault="009A43E6" w:rsidP="009A43E6">
      <w:pPr>
        <w:pStyle w:val="DraftHeading4"/>
        <w:ind w:left="1560" w:hanging="567"/>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 xml:space="preserve">(f) </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any matters relating to the protection and conservation of the registered place or registered object that the Executive Director considers relevant.</w:t>
      </w:r>
    </w:p>
    <w:p w14:paraId="49E0C0E5" w14:textId="77777777" w:rsidR="009A43E6" w:rsidRPr="00A30E5D" w:rsidRDefault="009A43E6" w:rsidP="009A43E6">
      <w:pPr>
        <w:pStyle w:val="DraftHeading2"/>
        <w:tabs>
          <w:tab w:val="right" w:pos="1247"/>
        </w:tabs>
        <w:ind w:left="993" w:hanging="426"/>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(3)</w:t>
      </w:r>
      <w:r>
        <w:rPr>
          <w:rFonts w:ascii="Arial" w:eastAsiaTheme="minorEastAsia" w:hAnsi="Arial" w:cs="Arial"/>
          <w:color w:val="323E48"/>
          <w:sz w:val="22"/>
          <w:szCs w:val="22"/>
          <w:lang w:val="en-US" w:bidi="hi-IN"/>
        </w:rPr>
        <w:tab/>
      </w:r>
      <w:r w:rsidRPr="00A30E5D">
        <w:rPr>
          <w:rFonts w:ascii="Arial" w:eastAsiaTheme="minorEastAsia" w:hAnsi="Arial" w:cs="Arial"/>
          <w:color w:val="323E48"/>
          <w:sz w:val="22"/>
          <w:szCs w:val="22"/>
          <w:lang w:val="en-US" w:bidi="hi-IN"/>
        </w:rPr>
        <w:t>In determining whether to approve an application for a permit, the Executive Director may consider—</w:t>
      </w:r>
    </w:p>
    <w:p w14:paraId="4E54EF13" w14:textId="77777777" w:rsidR="009A43E6" w:rsidRPr="00A30E5D" w:rsidRDefault="009A43E6" w:rsidP="009A43E6">
      <w:pPr>
        <w:pStyle w:val="DraftHeading3"/>
        <w:tabs>
          <w:tab w:val="right" w:pos="1560"/>
        </w:tabs>
        <w:ind w:left="1560" w:hanging="567"/>
        <w:rPr>
          <w:rFonts w:ascii="Arial" w:eastAsiaTheme="minorEastAsia" w:hAnsi="Arial" w:cs="Arial"/>
          <w:color w:val="323E48"/>
          <w:sz w:val="22"/>
          <w:szCs w:val="22"/>
          <w:lang w:val="en-US" w:bidi="hi-IN"/>
        </w:rPr>
      </w:pPr>
      <w:r>
        <w:rPr>
          <w:rFonts w:ascii="Arial" w:eastAsiaTheme="minorEastAsia" w:hAnsi="Arial" w:cs="Arial"/>
          <w:color w:val="323E48"/>
          <w:sz w:val="22"/>
          <w:szCs w:val="22"/>
          <w:lang w:val="en-US" w:bidi="hi-IN"/>
        </w:rPr>
        <w:t>(a)</w:t>
      </w:r>
      <w:r>
        <w:rPr>
          <w:rFonts w:ascii="Arial" w:eastAsiaTheme="minorEastAsia" w:hAnsi="Arial" w:cs="Arial"/>
          <w:color w:val="323E48"/>
          <w:sz w:val="22"/>
          <w:szCs w:val="22"/>
          <w:lang w:val="en-US" w:bidi="hi-IN"/>
        </w:rPr>
        <w:tab/>
        <w:t xml:space="preserve">     </w:t>
      </w:r>
      <w:r w:rsidRPr="00A30E5D">
        <w:rPr>
          <w:rFonts w:ascii="Arial" w:eastAsiaTheme="minorEastAsia" w:hAnsi="Arial" w:cs="Arial"/>
          <w:color w:val="323E48"/>
          <w:sz w:val="22"/>
          <w:szCs w:val="22"/>
          <w:lang w:val="en-US" w:bidi="hi-IN"/>
        </w:rPr>
        <w:t xml:space="preserve">the extent to which the application, if approved, would affect the cultural heritage significance of any adjacent or </w:t>
      </w:r>
      <w:proofErr w:type="spellStart"/>
      <w:r w:rsidRPr="00A30E5D">
        <w:rPr>
          <w:rFonts w:ascii="Arial" w:eastAsiaTheme="minorEastAsia" w:hAnsi="Arial" w:cs="Arial"/>
          <w:color w:val="323E48"/>
          <w:sz w:val="22"/>
          <w:szCs w:val="22"/>
          <w:lang w:val="en-US" w:bidi="hi-IN"/>
        </w:rPr>
        <w:t>neighbouring</w:t>
      </w:r>
      <w:proofErr w:type="spellEnd"/>
      <w:r w:rsidRPr="00A30E5D">
        <w:rPr>
          <w:rFonts w:ascii="Arial" w:eastAsiaTheme="minorEastAsia" w:hAnsi="Arial" w:cs="Arial"/>
          <w:color w:val="323E48"/>
          <w:sz w:val="22"/>
          <w:szCs w:val="22"/>
          <w:lang w:val="en-US" w:bidi="hi-IN"/>
        </w:rPr>
        <w:t xml:space="preserve"> property that is—</w:t>
      </w:r>
    </w:p>
    <w:p w14:paraId="2B649C99"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w:t>
      </w:r>
      <w:proofErr w:type="spellStart"/>
      <w:r w:rsidRPr="00A30E5D">
        <w:rPr>
          <w:rFonts w:ascii="Arial" w:eastAsiaTheme="minorEastAsia" w:hAnsi="Arial" w:cs="Arial"/>
          <w:color w:val="323E48"/>
          <w:sz w:val="22"/>
          <w:szCs w:val="22"/>
          <w:lang w:val="en-US" w:bidi="hi-IN"/>
        </w:rPr>
        <w:t>i</w:t>
      </w:r>
      <w:proofErr w:type="spellEnd"/>
      <w:r w:rsidRPr="00A30E5D">
        <w:rPr>
          <w:rFonts w:ascii="Arial" w:eastAsiaTheme="minorEastAsia" w:hAnsi="Arial" w:cs="Arial"/>
          <w:color w:val="323E48"/>
          <w:sz w:val="22"/>
          <w:szCs w:val="22"/>
          <w:lang w:val="en-US" w:bidi="hi-IN"/>
        </w:rPr>
        <w:t>)</w:t>
      </w:r>
      <w:r w:rsidRPr="00A30E5D">
        <w:rPr>
          <w:rFonts w:ascii="Arial" w:eastAsiaTheme="minorEastAsia" w:hAnsi="Arial" w:cs="Arial"/>
          <w:color w:val="323E48"/>
          <w:sz w:val="22"/>
          <w:szCs w:val="22"/>
          <w:lang w:val="en-US" w:bidi="hi-IN"/>
        </w:rPr>
        <w:tab/>
        <w:t>included in the Heritage Register; or</w:t>
      </w:r>
    </w:p>
    <w:p w14:paraId="4DD85440" w14:textId="77777777" w:rsidR="009A43E6" w:rsidRPr="00A30E5D" w:rsidRDefault="009A43E6" w:rsidP="009A43E6">
      <w:pPr>
        <w:pStyle w:val="DraftHeading4"/>
        <w:tabs>
          <w:tab w:val="right" w:pos="1985"/>
        </w:tabs>
        <w:ind w:left="1843" w:hanging="283"/>
        <w:rPr>
          <w:rFonts w:ascii="Arial" w:eastAsiaTheme="minorEastAsia" w:hAnsi="Arial" w:cs="Arial"/>
          <w:color w:val="323E48"/>
          <w:sz w:val="22"/>
          <w:szCs w:val="22"/>
          <w:lang w:val="en-US" w:bidi="hi-IN"/>
        </w:rPr>
      </w:pPr>
      <w:r w:rsidRPr="00A30E5D">
        <w:rPr>
          <w:rFonts w:ascii="Arial" w:eastAsiaTheme="minorEastAsia" w:hAnsi="Arial" w:cs="Arial"/>
          <w:color w:val="323E48"/>
          <w:sz w:val="22"/>
          <w:szCs w:val="22"/>
          <w:lang w:val="en-US" w:bidi="hi-IN"/>
        </w:rPr>
        <w:t>(ii)</w:t>
      </w:r>
      <w:r w:rsidRPr="00A30E5D">
        <w:rPr>
          <w:rFonts w:ascii="Arial" w:eastAsiaTheme="minorEastAsia" w:hAnsi="Arial" w:cs="Arial"/>
          <w:color w:val="323E48"/>
          <w:sz w:val="22"/>
          <w:szCs w:val="22"/>
          <w:lang w:val="en-US" w:bidi="hi-IN"/>
        </w:rPr>
        <w:tab/>
        <w:t>subject to a heritage requirement or control in the relevant planning scheme; or</w:t>
      </w:r>
    </w:p>
    <w:p w14:paraId="7F24FDB4" w14:textId="212D5BA6" w:rsidR="009A43E6" w:rsidRPr="008E5DAD" w:rsidRDefault="009A43E6" w:rsidP="009A43E6">
      <w:pPr>
        <w:pStyle w:val="H2AFTER"/>
        <w:ind w:left="284" w:firstLine="720"/>
        <w:rPr>
          <w:b w:val="0"/>
          <w:color w:val="AA1E2E"/>
        </w:rPr>
        <w:sectPr w:rsidR="009A43E6" w:rsidRPr="008E5DAD" w:rsidSect="00F11BA8">
          <w:pgSz w:w="11907" w:h="16840" w:code="9"/>
          <w:pgMar w:top="1702" w:right="1701" w:bottom="1418" w:left="1701" w:header="567" w:footer="567" w:gutter="0"/>
          <w:cols w:space="720"/>
          <w:titlePg/>
          <w:docGrid w:linePitch="360"/>
        </w:sectPr>
      </w:pPr>
      <w:r w:rsidRPr="008E5DAD">
        <w:rPr>
          <w:rFonts w:ascii="Arial" w:eastAsiaTheme="minorEastAsia" w:hAnsi="Arial"/>
          <w:b w:val="0"/>
          <w:sz w:val="22"/>
          <w:szCs w:val="22"/>
        </w:rPr>
        <w:t>(b)</w:t>
      </w:r>
      <w:r>
        <w:rPr>
          <w:rFonts w:ascii="Arial" w:eastAsiaTheme="minorEastAsia" w:hAnsi="Arial"/>
          <w:b w:val="0"/>
          <w:sz w:val="22"/>
          <w:szCs w:val="22"/>
        </w:rPr>
        <w:tab/>
      </w:r>
      <w:r w:rsidRPr="008E5DAD">
        <w:rPr>
          <w:rFonts w:ascii="Arial" w:eastAsiaTheme="minorEastAsia" w:hAnsi="Arial"/>
          <w:b w:val="0"/>
          <w:sz w:val="22"/>
          <w:szCs w:val="22"/>
        </w:rPr>
        <w:t>any other relevant matter</w:t>
      </w:r>
      <w:r w:rsidR="009471FB">
        <w:rPr>
          <w:rFonts w:ascii="Arial" w:eastAsiaTheme="minorEastAsia" w:hAnsi="Arial"/>
          <w:b w:val="0"/>
          <w:sz w:val="22"/>
          <w:szCs w:val="22"/>
        </w:rPr>
        <w:t>.</w:t>
      </w:r>
    </w:p>
    <w:p w14:paraId="0AABCBE8" w14:textId="77777777" w:rsidR="00BD2DE6" w:rsidRDefault="00897608" w:rsidP="00C0640D">
      <w:pPr>
        <w:pStyle w:val="H2AFTER"/>
        <w:rPr>
          <w:color w:val="AA1E2E"/>
        </w:rPr>
      </w:pPr>
      <w:r w:rsidRPr="00C85E4B">
        <w:rPr>
          <w:color w:val="AA1E2E"/>
        </w:rPr>
        <w:lastRenderedPageBreak/>
        <w:t>ATTACHMENT</w:t>
      </w:r>
      <w:r w:rsidR="00F36431">
        <w:rPr>
          <w:color w:val="AA1E2E"/>
        </w:rPr>
        <w:t xml:space="preserve"> 2</w:t>
      </w:r>
    </w:p>
    <w:p w14:paraId="1EFB3668" w14:textId="5CB12514" w:rsidR="00BD2DE6" w:rsidRDefault="00F36431" w:rsidP="00F36431">
      <w:pPr>
        <w:pStyle w:val="H2AFTER"/>
        <w:rPr>
          <w:sz w:val="22"/>
        </w:rPr>
      </w:pPr>
      <w:r w:rsidRPr="00F36431">
        <w:rPr>
          <w:sz w:val="22"/>
        </w:rPr>
        <w:t>PERMIT NO. P</w:t>
      </w:r>
      <w:r w:rsidR="00581529">
        <w:rPr>
          <w:sz w:val="22"/>
        </w:rPr>
        <w:t>26809</w:t>
      </w:r>
    </w:p>
    <w:p w14:paraId="48D07AA0" w14:textId="135D9DA2" w:rsidR="00581529" w:rsidRDefault="00581529" w:rsidP="00581529">
      <w:pPr>
        <w:spacing w:before="240" w:after="240"/>
        <w:jc w:val="both"/>
        <w:rPr>
          <w:rFonts w:ascii="Arial" w:eastAsiaTheme="minorEastAsia" w:hAnsi="Arial" w:cs="Arial"/>
          <w:color w:val="323E48"/>
          <w:sz w:val="22"/>
          <w:szCs w:val="18"/>
          <w:lang w:val="en-US" w:bidi="hi-IN"/>
        </w:rPr>
      </w:pPr>
      <w:r w:rsidRPr="00AB7156">
        <w:rPr>
          <w:rFonts w:ascii="Arial" w:eastAsiaTheme="minorEastAsia" w:hAnsi="Arial" w:cs="Arial"/>
          <w:b/>
          <w:caps/>
          <w:color w:val="323E48"/>
          <w:sz w:val="22"/>
          <w:szCs w:val="18"/>
          <w:lang w:val="en-US" w:bidi="hi-IN"/>
        </w:rPr>
        <w:t>The Permit Allows</w:t>
      </w:r>
      <w:r>
        <w:rPr>
          <w:rFonts w:ascii="Arial" w:eastAsiaTheme="minorEastAsia" w:hAnsi="Arial" w:cs="Arial"/>
          <w:b/>
          <w:caps/>
          <w:color w:val="323E48"/>
          <w:sz w:val="22"/>
          <w:szCs w:val="18"/>
          <w:lang w:val="en-US" w:bidi="hi-IN"/>
        </w:rPr>
        <w:t xml:space="preserve">: </w:t>
      </w:r>
      <w:r w:rsidR="001337C6">
        <w:rPr>
          <w:rFonts w:ascii="Arial" w:eastAsiaTheme="minorEastAsia" w:hAnsi="Arial" w:cs="Arial"/>
          <w:color w:val="323E48"/>
          <w:sz w:val="22"/>
          <w:szCs w:val="18"/>
          <w:lang w:val="en-US" w:bidi="hi-IN"/>
        </w:rPr>
        <w:t>Demolition works, building alterations and additions, and the construction of a seven-</w:t>
      </w:r>
      <w:proofErr w:type="spellStart"/>
      <w:r w:rsidR="001337C6">
        <w:rPr>
          <w:rFonts w:ascii="Arial" w:eastAsiaTheme="minorEastAsia" w:hAnsi="Arial" w:cs="Arial"/>
          <w:color w:val="323E48"/>
          <w:sz w:val="22"/>
          <w:szCs w:val="18"/>
          <w:lang w:val="en-US" w:bidi="hi-IN"/>
        </w:rPr>
        <w:t>storey</w:t>
      </w:r>
      <w:proofErr w:type="spellEnd"/>
      <w:r w:rsidR="001337C6">
        <w:rPr>
          <w:rFonts w:ascii="Arial" w:eastAsiaTheme="minorEastAsia" w:hAnsi="Arial" w:cs="Arial"/>
          <w:color w:val="323E48"/>
          <w:sz w:val="22"/>
          <w:szCs w:val="18"/>
          <w:lang w:val="en-US" w:bidi="hi-IN"/>
        </w:rPr>
        <w:t xml:space="preserve"> apartment building </w:t>
      </w:r>
      <w:r w:rsidR="0012136E">
        <w:rPr>
          <w:rFonts w:ascii="Arial" w:eastAsiaTheme="minorEastAsia" w:hAnsi="Arial" w:cs="Arial"/>
          <w:color w:val="323E48"/>
          <w:sz w:val="22"/>
          <w:szCs w:val="18"/>
          <w:lang w:val="en-US" w:bidi="hi-IN"/>
        </w:rPr>
        <w:t xml:space="preserve">on </w:t>
      </w:r>
      <w:r w:rsidR="0012136E" w:rsidRPr="0012136E">
        <w:rPr>
          <w:rFonts w:ascii="Arial" w:eastAsiaTheme="minorEastAsia" w:hAnsi="Arial" w:cs="Arial"/>
          <w:color w:val="323E48"/>
          <w:sz w:val="22"/>
          <w:szCs w:val="18"/>
          <w:lang w:val="en-US" w:bidi="hi-IN"/>
        </w:rPr>
        <w:t>Lot 1 on Title Plan 872274G</w:t>
      </w:r>
      <w:r w:rsidR="0012136E">
        <w:rPr>
          <w:rFonts w:ascii="Arial" w:eastAsiaTheme="minorEastAsia" w:hAnsi="Arial" w:cs="Arial"/>
          <w:color w:val="323E48"/>
          <w:sz w:val="22"/>
          <w:szCs w:val="18"/>
          <w:lang w:val="en-US" w:bidi="hi-IN"/>
        </w:rPr>
        <w:t>,</w:t>
      </w:r>
      <w:r w:rsidR="001337C6">
        <w:rPr>
          <w:rFonts w:ascii="Arial" w:eastAsiaTheme="minorEastAsia" w:hAnsi="Arial" w:cs="Arial"/>
          <w:color w:val="323E48"/>
          <w:sz w:val="22"/>
          <w:szCs w:val="18"/>
          <w:lang w:val="en-US" w:bidi="hi-IN"/>
        </w:rPr>
        <w:t xml:space="preserve"> 11 Brunswick Street, Fitzroy, in accordance with the endorsed plans.</w:t>
      </w:r>
    </w:p>
    <w:p w14:paraId="4B3BC5EC" w14:textId="77777777" w:rsidR="00581529" w:rsidRPr="00AB7156" w:rsidRDefault="00581529" w:rsidP="00581529">
      <w:pPr>
        <w:spacing w:before="240" w:after="240"/>
        <w:jc w:val="both"/>
        <w:rPr>
          <w:rFonts w:ascii="Arial" w:eastAsiaTheme="minorEastAsia" w:hAnsi="Arial" w:cs="Arial"/>
          <w:b/>
          <w:caps/>
          <w:color w:val="323E48"/>
          <w:sz w:val="22"/>
          <w:szCs w:val="18"/>
          <w:lang w:val="en-US" w:bidi="hi-IN"/>
        </w:rPr>
      </w:pPr>
      <w:r w:rsidRPr="00AB7156">
        <w:rPr>
          <w:rFonts w:ascii="Arial" w:eastAsiaTheme="minorEastAsia" w:hAnsi="Arial" w:cs="Arial"/>
          <w:b/>
          <w:caps/>
          <w:color w:val="323E48"/>
          <w:sz w:val="22"/>
          <w:szCs w:val="18"/>
          <w:lang w:val="en-US" w:bidi="hi-IN"/>
        </w:rPr>
        <w:t>The following conditions apply to this permit:</w:t>
      </w:r>
    </w:p>
    <w:p w14:paraId="1515DC78" w14:textId="1A6556E0" w:rsidR="00802A17" w:rsidRPr="00836C91" w:rsidRDefault="00836C91" w:rsidP="00802A17">
      <w:pPr>
        <w:tabs>
          <w:tab w:val="left" w:pos="1276"/>
        </w:tabs>
        <w:spacing w:after="120"/>
        <w:ind w:right="777"/>
        <w:rPr>
          <w:rFonts w:ascii="Arial" w:eastAsiaTheme="minorEastAsia" w:hAnsi="Arial" w:cs="Arial"/>
          <w:b/>
          <w:color w:val="323E48"/>
          <w:sz w:val="22"/>
          <w:szCs w:val="18"/>
          <w:lang w:val="en-US" w:bidi="hi-IN"/>
        </w:rPr>
      </w:pPr>
      <w:r w:rsidRPr="00836C91">
        <w:rPr>
          <w:rFonts w:ascii="Arial" w:eastAsiaTheme="minorEastAsia" w:hAnsi="Arial" w:cs="Arial"/>
          <w:b/>
          <w:color w:val="323E48"/>
          <w:sz w:val="22"/>
          <w:szCs w:val="18"/>
          <w:lang w:val="en-US" w:bidi="hi-IN"/>
        </w:rPr>
        <w:t>Plans for endorsement</w:t>
      </w:r>
    </w:p>
    <w:p w14:paraId="29539C0D" w14:textId="11CD951E" w:rsidR="00F34851" w:rsidRDefault="002A2A50" w:rsidP="00F34851">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Prior to the commencement of any works approved by this permit, a set of the drawing sheets to be endorsed by the Building Surveyor appointed for the project under the </w:t>
      </w:r>
      <w:r w:rsidRPr="002A2A50">
        <w:rPr>
          <w:rFonts w:ascii="Arial" w:eastAsiaTheme="minorEastAsia" w:hAnsi="Arial" w:cs="Arial"/>
          <w:i/>
          <w:color w:val="323E48"/>
          <w:sz w:val="22"/>
          <w:szCs w:val="18"/>
          <w:lang w:val="en-US" w:bidi="hi-IN"/>
        </w:rPr>
        <w:t>Building Act 1993</w:t>
      </w:r>
      <w:r>
        <w:rPr>
          <w:rFonts w:ascii="Arial" w:eastAsiaTheme="minorEastAsia" w:hAnsi="Arial" w:cs="Arial"/>
          <w:color w:val="323E48"/>
          <w:sz w:val="22"/>
          <w:szCs w:val="18"/>
          <w:lang w:val="en-US" w:bidi="hi-IN"/>
        </w:rPr>
        <w:t xml:space="preserve"> </w:t>
      </w:r>
      <w:r w:rsidR="00FC3A42">
        <w:rPr>
          <w:rFonts w:ascii="Arial" w:eastAsiaTheme="minorEastAsia" w:hAnsi="Arial" w:cs="Arial"/>
          <w:color w:val="323E48"/>
          <w:sz w:val="22"/>
          <w:szCs w:val="18"/>
          <w:lang w:val="en-US" w:bidi="hi-IN"/>
        </w:rPr>
        <w:t>must</w:t>
      </w:r>
      <w:r>
        <w:rPr>
          <w:rFonts w:ascii="Arial" w:eastAsiaTheme="minorEastAsia" w:hAnsi="Arial" w:cs="Arial"/>
          <w:color w:val="323E48"/>
          <w:sz w:val="22"/>
          <w:szCs w:val="18"/>
          <w:lang w:val="en-US" w:bidi="hi-IN"/>
        </w:rPr>
        <w:t xml:space="preserve"> be submitted (in electronic format) to and endorsed by the Executive Director</w:t>
      </w:r>
      <w:r w:rsidR="00F60023">
        <w:rPr>
          <w:rFonts w:ascii="Arial" w:eastAsiaTheme="minorEastAsia" w:hAnsi="Arial" w:cs="Arial"/>
          <w:color w:val="323E48"/>
          <w:sz w:val="22"/>
          <w:szCs w:val="18"/>
          <w:lang w:val="en-US" w:bidi="hi-IN"/>
        </w:rPr>
        <w:t>, Heritage Victoria</w:t>
      </w:r>
      <w:r>
        <w:rPr>
          <w:rFonts w:ascii="Arial" w:eastAsiaTheme="minorEastAsia" w:hAnsi="Arial" w:cs="Arial"/>
          <w:color w:val="323E48"/>
          <w:sz w:val="22"/>
          <w:szCs w:val="18"/>
          <w:lang w:val="en-US" w:bidi="hi-IN"/>
        </w:rPr>
        <w:t xml:space="preserve">. These drawing sheets are to be in accordance with the 34 sheets and drawings prepared by Clarke Hopkins Clarke Architects dated July 2018 showing a </w:t>
      </w:r>
      <w:r w:rsidR="00F60023">
        <w:rPr>
          <w:rFonts w:ascii="Arial" w:eastAsiaTheme="minorEastAsia" w:hAnsi="Arial" w:cs="Arial"/>
          <w:color w:val="323E48"/>
          <w:sz w:val="22"/>
          <w:szCs w:val="18"/>
          <w:lang w:val="en-US" w:bidi="hi-IN"/>
        </w:rPr>
        <w:t>seven-</w:t>
      </w:r>
      <w:proofErr w:type="spellStart"/>
      <w:r w:rsidR="00F60023">
        <w:rPr>
          <w:rFonts w:ascii="Arial" w:eastAsiaTheme="minorEastAsia" w:hAnsi="Arial" w:cs="Arial"/>
          <w:color w:val="323E48"/>
          <w:sz w:val="22"/>
          <w:szCs w:val="18"/>
          <w:lang w:val="en-US" w:bidi="hi-IN"/>
        </w:rPr>
        <w:t>storey</w:t>
      </w:r>
      <w:proofErr w:type="spellEnd"/>
      <w:r w:rsidR="00F60023">
        <w:rPr>
          <w:rFonts w:ascii="Arial" w:eastAsiaTheme="minorEastAsia" w:hAnsi="Arial" w:cs="Arial"/>
          <w:color w:val="323E48"/>
          <w:sz w:val="22"/>
          <w:szCs w:val="18"/>
          <w:lang w:val="en-US" w:bidi="hi-IN"/>
        </w:rPr>
        <w:t xml:space="preserve"> </w:t>
      </w:r>
      <w:r>
        <w:rPr>
          <w:rFonts w:ascii="Arial" w:eastAsiaTheme="minorEastAsia" w:hAnsi="Arial" w:cs="Arial"/>
          <w:color w:val="323E48"/>
          <w:sz w:val="22"/>
          <w:szCs w:val="18"/>
          <w:lang w:val="en-US" w:bidi="hi-IN"/>
        </w:rPr>
        <w:t>apartment buildin</w:t>
      </w:r>
      <w:r w:rsidR="00F60023">
        <w:rPr>
          <w:rFonts w:ascii="Arial" w:eastAsiaTheme="minorEastAsia" w:hAnsi="Arial" w:cs="Arial"/>
          <w:color w:val="323E48"/>
          <w:sz w:val="22"/>
          <w:szCs w:val="18"/>
          <w:lang w:val="en-US" w:bidi="hi-IN"/>
        </w:rPr>
        <w:t>g</w:t>
      </w:r>
      <w:r>
        <w:rPr>
          <w:rFonts w:ascii="Arial" w:eastAsiaTheme="minorEastAsia" w:hAnsi="Arial" w:cs="Arial"/>
          <w:color w:val="323E48"/>
          <w:sz w:val="22"/>
          <w:szCs w:val="18"/>
          <w:lang w:val="en-US" w:bidi="hi-IN"/>
        </w:rPr>
        <w:t>.</w:t>
      </w:r>
    </w:p>
    <w:p w14:paraId="0E8A06B4" w14:textId="71576F05" w:rsidR="00836C91" w:rsidRPr="00836C91" w:rsidRDefault="00836C91" w:rsidP="00836C91">
      <w:pPr>
        <w:tabs>
          <w:tab w:val="left" w:pos="1276"/>
        </w:tabs>
        <w:spacing w:after="120"/>
        <w:ind w:right="777"/>
        <w:rPr>
          <w:rFonts w:ascii="Arial" w:eastAsiaTheme="minorEastAsia" w:hAnsi="Arial" w:cs="Arial"/>
          <w:b/>
          <w:color w:val="323E48"/>
          <w:sz w:val="22"/>
          <w:szCs w:val="18"/>
          <w:lang w:val="en-US" w:bidi="hi-IN"/>
        </w:rPr>
      </w:pPr>
      <w:r w:rsidRPr="00836C91">
        <w:rPr>
          <w:rFonts w:ascii="Arial" w:eastAsiaTheme="minorEastAsia" w:hAnsi="Arial" w:cs="Arial"/>
          <w:b/>
          <w:color w:val="323E48"/>
          <w:sz w:val="22"/>
          <w:szCs w:val="18"/>
          <w:lang w:val="en-US" w:bidi="hi-IN"/>
        </w:rPr>
        <w:t>Construction management plan</w:t>
      </w:r>
    </w:p>
    <w:p w14:paraId="7FE12244" w14:textId="7B9E7C53" w:rsidR="002A2A50" w:rsidRDefault="002A2A50" w:rsidP="00F34851">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sidRPr="00F34851">
        <w:rPr>
          <w:rFonts w:ascii="Arial" w:eastAsiaTheme="minorEastAsia" w:hAnsi="Arial" w:cs="Arial"/>
          <w:color w:val="323E48"/>
          <w:sz w:val="22"/>
          <w:szCs w:val="18"/>
          <w:lang w:val="en-US" w:bidi="hi-IN"/>
        </w:rPr>
        <w:t xml:space="preserve">Prior to the commencement of any works approved by this permit, a Construction Management Plan (the </w:t>
      </w:r>
      <w:r w:rsidR="00FE221F">
        <w:rPr>
          <w:rFonts w:ascii="Arial" w:eastAsiaTheme="minorEastAsia" w:hAnsi="Arial" w:cs="Arial"/>
          <w:color w:val="323E48"/>
          <w:sz w:val="22"/>
          <w:szCs w:val="18"/>
          <w:lang w:val="en-US" w:bidi="hi-IN"/>
        </w:rPr>
        <w:t>CMP</w:t>
      </w:r>
      <w:r w:rsidRPr="00F34851">
        <w:rPr>
          <w:rFonts w:ascii="Arial" w:eastAsiaTheme="minorEastAsia" w:hAnsi="Arial" w:cs="Arial"/>
          <w:color w:val="323E48"/>
          <w:sz w:val="22"/>
          <w:szCs w:val="18"/>
          <w:lang w:val="en-US" w:bidi="hi-IN"/>
        </w:rPr>
        <w:t xml:space="preserve">) must be </w:t>
      </w:r>
      <w:r w:rsidR="0024029F">
        <w:rPr>
          <w:rFonts w:ascii="Arial" w:eastAsiaTheme="minorEastAsia" w:hAnsi="Arial" w:cs="Arial"/>
          <w:color w:val="323E48"/>
          <w:sz w:val="22"/>
          <w:szCs w:val="18"/>
          <w:lang w:val="en-US" w:bidi="hi-IN"/>
        </w:rPr>
        <w:t>submitted to and</w:t>
      </w:r>
      <w:r w:rsidRPr="00F34851">
        <w:rPr>
          <w:rFonts w:ascii="Arial" w:eastAsiaTheme="minorEastAsia" w:hAnsi="Arial" w:cs="Arial"/>
          <w:color w:val="323E48"/>
          <w:sz w:val="22"/>
          <w:szCs w:val="18"/>
          <w:lang w:val="en-US" w:bidi="hi-IN"/>
        </w:rPr>
        <w:t xml:space="preserve"> </w:t>
      </w:r>
      <w:r w:rsidR="0024029F">
        <w:rPr>
          <w:rFonts w:ascii="Arial" w:eastAsiaTheme="minorEastAsia" w:hAnsi="Arial" w:cs="Arial"/>
          <w:color w:val="323E48"/>
          <w:sz w:val="22"/>
          <w:szCs w:val="18"/>
          <w:lang w:val="en-US" w:bidi="hi-IN"/>
        </w:rPr>
        <w:t xml:space="preserve">endorsed </w:t>
      </w:r>
      <w:r w:rsidRPr="00F34851">
        <w:rPr>
          <w:rFonts w:ascii="Arial" w:eastAsiaTheme="minorEastAsia" w:hAnsi="Arial" w:cs="Arial"/>
          <w:color w:val="323E48"/>
          <w:sz w:val="22"/>
          <w:szCs w:val="18"/>
          <w:lang w:val="en-US" w:bidi="hi-IN"/>
        </w:rPr>
        <w:t xml:space="preserve">by the Executive Director and once endorsed becomes part of the permit. The </w:t>
      </w:r>
      <w:r w:rsidR="00FE221F">
        <w:rPr>
          <w:rFonts w:ascii="Arial" w:eastAsiaTheme="minorEastAsia" w:hAnsi="Arial" w:cs="Arial"/>
          <w:color w:val="323E48"/>
          <w:sz w:val="22"/>
          <w:szCs w:val="18"/>
          <w:lang w:val="en-US" w:bidi="hi-IN"/>
        </w:rPr>
        <w:t xml:space="preserve">CMP </w:t>
      </w:r>
      <w:r w:rsidRPr="00F34851">
        <w:rPr>
          <w:rFonts w:ascii="Arial" w:eastAsiaTheme="minorEastAsia" w:hAnsi="Arial" w:cs="Arial"/>
          <w:color w:val="323E48"/>
          <w:sz w:val="22"/>
          <w:szCs w:val="18"/>
          <w:lang w:val="en-US" w:bidi="hi-IN"/>
        </w:rPr>
        <w:t xml:space="preserve">must include a sequencing program for the approved works, details of any temporary infrastructure and services required, protection methods for the heritage place during the undertaking of the works and a worksite layout plan. The </w:t>
      </w:r>
      <w:r w:rsidR="00FE221F">
        <w:rPr>
          <w:rFonts w:ascii="Arial" w:eastAsiaTheme="minorEastAsia" w:hAnsi="Arial" w:cs="Arial"/>
          <w:color w:val="323E48"/>
          <w:sz w:val="22"/>
          <w:szCs w:val="18"/>
          <w:lang w:val="en-US" w:bidi="hi-IN"/>
        </w:rPr>
        <w:t xml:space="preserve">CMP </w:t>
      </w:r>
      <w:r w:rsidRPr="00F34851">
        <w:rPr>
          <w:rFonts w:ascii="Arial" w:eastAsiaTheme="minorEastAsia" w:hAnsi="Arial" w:cs="Arial"/>
          <w:color w:val="323E48"/>
          <w:sz w:val="22"/>
          <w:szCs w:val="18"/>
          <w:lang w:val="en-US" w:bidi="hi-IN"/>
        </w:rPr>
        <w:t>must also include a dilapidation report (including photo</w:t>
      </w:r>
      <w:r w:rsidR="00F34851">
        <w:rPr>
          <w:rFonts w:ascii="Arial" w:eastAsiaTheme="minorEastAsia" w:hAnsi="Arial" w:cs="Arial"/>
          <w:color w:val="323E48"/>
          <w:sz w:val="22"/>
          <w:szCs w:val="18"/>
          <w:lang w:val="en-US" w:bidi="hi-IN"/>
        </w:rPr>
        <w:t>-</w:t>
      </w:r>
      <w:r w:rsidRPr="00F34851">
        <w:rPr>
          <w:rFonts w:ascii="Arial" w:eastAsiaTheme="minorEastAsia" w:hAnsi="Arial" w:cs="Arial"/>
          <w:color w:val="323E48"/>
          <w:sz w:val="22"/>
          <w:szCs w:val="18"/>
          <w:lang w:val="en-US" w:bidi="hi-IN"/>
        </w:rPr>
        <w:t>images) for those parts of the heritage building to be affected by the approved works to record its condition prior to the commencement of those works.</w:t>
      </w:r>
    </w:p>
    <w:p w14:paraId="56112DF5" w14:textId="3D3A2C79" w:rsidR="00836C91" w:rsidRPr="00836C91" w:rsidRDefault="00836C91" w:rsidP="00836C91">
      <w:pPr>
        <w:tabs>
          <w:tab w:val="left" w:pos="1276"/>
        </w:tabs>
        <w:spacing w:after="120"/>
        <w:ind w:right="777"/>
        <w:rPr>
          <w:rFonts w:ascii="Arial" w:eastAsiaTheme="minorEastAsia" w:hAnsi="Arial" w:cs="Arial"/>
          <w:b/>
          <w:color w:val="323E48"/>
          <w:sz w:val="22"/>
          <w:szCs w:val="18"/>
          <w:lang w:val="en-US" w:bidi="hi-IN"/>
        </w:rPr>
      </w:pPr>
      <w:r w:rsidRPr="00836C91">
        <w:rPr>
          <w:rFonts w:ascii="Arial" w:eastAsiaTheme="minorEastAsia" w:hAnsi="Arial" w:cs="Arial"/>
          <w:b/>
          <w:color w:val="323E48"/>
          <w:sz w:val="22"/>
          <w:szCs w:val="18"/>
          <w:lang w:val="en-US" w:bidi="hi-IN"/>
        </w:rPr>
        <w:t>Reconstruction of the existing pediment</w:t>
      </w:r>
    </w:p>
    <w:p w14:paraId="46767D44" w14:textId="6D133C9D" w:rsidR="00F34851" w:rsidRDefault="002A2A50" w:rsidP="002A2A50">
      <w:pPr>
        <w:pStyle w:val="ListParagraph"/>
        <w:numPr>
          <w:ilvl w:val="2"/>
          <w:numId w:val="47"/>
        </w:numPr>
        <w:tabs>
          <w:tab w:val="left" w:pos="1276"/>
        </w:tabs>
        <w:ind w:left="360" w:right="777"/>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The existing central decorative pediment on the front façade of the original three-</w:t>
      </w:r>
      <w:proofErr w:type="spellStart"/>
      <w:r>
        <w:rPr>
          <w:rFonts w:ascii="Arial" w:eastAsiaTheme="minorEastAsia" w:hAnsi="Arial" w:cs="Arial"/>
          <w:color w:val="323E48"/>
          <w:sz w:val="22"/>
          <w:szCs w:val="18"/>
          <w:lang w:val="en-US" w:bidi="hi-IN"/>
        </w:rPr>
        <w:t>storey</w:t>
      </w:r>
      <w:proofErr w:type="spellEnd"/>
      <w:r>
        <w:rPr>
          <w:rFonts w:ascii="Arial" w:eastAsiaTheme="minorEastAsia" w:hAnsi="Arial" w:cs="Arial"/>
          <w:color w:val="323E48"/>
          <w:sz w:val="22"/>
          <w:szCs w:val="18"/>
          <w:lang w:val="en-US" w:bidi="hi-IN"/>
        </w:rPr>
        <w:t xml:space="preserve"> residence must be reconstructed </w:t>
      </w:r>
      <w:r w:rsidR="00F34851">
        <w:rPr>
          <w:rFonts w:ascii="Arial" w:eastAsiaTheme="minorEastAsia" w:hAnsi="Arial" w:cs="Arial"/>
          <w:color w:val="323E48"/>
          <w:sz w:val="22"/>
          <w:szCs w:val="18"/>
          <w:lang w:val="en-US" w:bidi="hi-IN"/>
        </w:rPr>
        <w:t xml:space="preserve">to reinstate the following </w:t>
      </w:r>
      <w:r w:rsidR="00F34851" w:rsidRPr="004E5DA9">
        <w:rPr>
          <w:rFonts w:ascii="Arial" w:eastAsiaTheme="minorEastAsia" w:hAnsi="Arial" w:cs="Arial"/>
          <w:color w:val="323E48"/>
          <w:sz w:val="22"/>
          <w:szCs w:val="18"/>
          <w:lang w:val="en-US" w:bidi="hi-IN"/>
        </w:rPr>
        <w:t>features</w:t>
      </w:r>
      <w:r w:rsidR="00F34851">
        <w:rPr>
          <w:rFonts w:ascii="Arial" w:eastAsiaTheme="minorEastAsia" w:hAnsi="Arial" w:cs="Arial"/>
          <w:color w:val="323E48"/>
          <w:sz w:val="22"/>
          <w:szCs w:val="18"/>
          <w:lang w:val="en-US" w:bidi="hi-IN"/>
        </w:rPr>
        <w:t xml:space="preserve"> based on available photographic and other documentary evidence</w:t>
      </w:r>
      <w:r w:rsidR="00F34851" w:rsidRPr="00F34851">
        <w:rPr>
          <w:rFonts w:ascii="Arial" w:eastAsiaTheme="minorEastAsia" w:hAnsi="Arial" w:cs="Arial"/>
          <w:color w:val="323E48"/>
          <w:sz w:val="22"/>
          <w:szCs w:val="18"/>
          <w:lang w:val="en-US" w:bidi="hi-IN"/>
        </w:rPr>
        <w:t xml:space="preserve"> </w:t>
      </w:r>
      <w:r w:rsidR="00F34851">
        <w:rPr>
          <w:rFonts w:ascii="Arial" w:eastAsiaTheme="minorEastAsia" w:hAnsi="Arial" w:cs="Arial"/>
          <w:color w:val="323E48"/>
          <w:sz w:val="22"/>
          <w:szCs w:val="18"/>
          <w:lang w:val="en-US" w:bidi="hi-IN"/>
        </w:rPr>
        <w:t>of their original appearance</w:t>
      </w:r>
      <w:r w:rsidR="00892643">
        <w:rPr>
          <w:rFonts w:ascii="Arial" w:eastAsiaTheme="minorEastAsia" w:hAnsi="Arial" w:cs="Arial"/>
          <w:color w:val="323E48"/>
          <w:sz w:val="22"/>
          <w:szCs w:val="18"/>
          <w:lang w:val="en-US" w:bidi="hi-IN"/>
        </w:rPr>
        <w:t xml:space="preserve"> (if any)</w:t>
      </w:r>
      <w:r w:rsidR="00F34851">
        <w:rPr>
          <w:rFonts w:ascii="Arial" w:eastAsiaTheme="minorEastAsia" w:hAnsi="Arial" w:cs="Arial"/>
          <w:color w:val="323E48"/>
          <w:sz w:val="22"/>
          <w:szCs w:val="18"/>
          <w:lang w:val="en-US" w:bidi="hi-IN"/>
        </w:rPr>
        <w:t>:</w:t>
      </w:r>
    </w:p>
    <w:p w14:paraId="41607EA8" w14:textId="2DE7BF76" w:rsidR="00F34851" w:rsidRPr="00F34851" w:rsidRDefault="00F34851" w:rsidP="00F34851">
      <w:pPr>
        <w:pStyle w:val="ListParagraph"/>
        <w:numPr>
          <w:ilvl w:val="3"/>
          <w:numId w:val="47"/>
        </w:numPr>
        <w:tabs>
          <w:tab w:val="left" w:pos="1276"/>
        </w:tabs>
        <w:ind w:left="709" w:right="777"/>
        <w:rPr>
          <w:rFonts w:ascii="Arial" w:eastAsiaTheme="minorEastAsia" w:hAnsi="Arial" w:cs="Arial"/>
          <w:color w:val="323E48"/>
          <w:sz w:val="22"/>
          <w:szCs w:val="18"/>
          <w:lang w:val="en-US" w:bidi="hi-IN"/>
        </w:rPr>
      </w:pPr>
      <w:r w:rsidRPr="00F34851">
        <w:rPr>
          <w:rFonts w:ascii="Arial" w:eastAsiaTheme="minorEastAsia" w:hAnsi="Arial" w:cs="Arial"/>
          <w:color w:val="323E48"/>
          <w:sz w:val="22"/>
          <w:szCs w:val="18"/>
          <w:lang w:val="en-US" w:bidi="hi-IN"/>
        </w:rPr>
        <w:t>the central pediment;</w:t>
      </w:r>
    </w:p>
    <w:p w14:paraId="59C6870E" w14:textId="77777777" w:rsidR="00F34851" w:rsidRDefault="00F34851" w:rsidP="00F34851">
      <w:pPr>
        <w:pStyle w:val="ListParagraph"/>
        <w:numPr>
          <w:ilvl w:val="3"/>
          <w:numId w:val="47"/>
        </w:numPr>
        <w:tabs>
          <w:tab w:val="left" w:pos="1276"/>
        </w:tabs>
        <w:ind w:left="709" w:right="777"/>
        <w:rPr>
          <w:rFonts w:ascii="Arial" w:eastAsiaTheme="minorEastAsia" w:hAnsi="Arial" w:cs="Arial"/>
          <w:color w:val="323E48"/>
          <w:sz w:val="22"/>
          <w:szCs w:val="18"/>
          <w:lang w:val="en-US" w:bidi="hi-IN"/>
        </w:rPr>
      </w:pPr>
      <w:r w:rsidRPr="00F34851">
        <w:rPr>
          <w:rFonts w:ascii="Arial" w:eastAsiaTheme="minorEastAsia" w:hAnsi="Arial" w:cs="Arial"/>
          <w:color w:val="323E48"/>
          <w:sz w:val="22"/>
          <w:szCs w:val="18"/>
          <w:lang w:val="en-US" w:bidi="hi-IN"/>
        </w:rPr>
        <w:t>flanking dwarf balustrade with balusters</w:t>
      </w:r>
      <w:r>
        <w:rPr>
          <w:rFonts w:ascii="Arial" w:eastAsiaTheme="minorEastAsia" w:hAnsi="Arial" w:cs="Arial"/>
          <w:color w:val="323E48"/>
          <w:sz w:val="22"/>
          <w:szCs w:val="18"/>
          <w:lang w:val="en-US" w:bidi="hi-IN"/>
        </w:rPr>
        <w:t>;</w:t>
      </w:r>
      <w:r w:rsidRPr="00F34851">
        <w:rPr>
          <w:rFonts w:ascii="Arial" w:eastAsiaTheme="minorEastAsia" w:hAnsi="Arial" w:cs="Arial"/>
          <w:color w:val="323E48"/>
          <w:sz w:val="22"/>
          <w:szCs w:val="18"/>
          <w:lang w:val="en-US" w:bidi="hi-IN"/>
        </w:rPr>
        <w:t xml:space="preserve"> and</w:t>
      </w:r>
    </w:p>
    <w:p w14:paraId="5E8E2ECC" w14:textId="2C612AFC" w:rsidR="00457D72" w:rsidRPr="00770FAA" w:rsidRDefault="00F34851" w:rsidP="00457D72">
      <w:pPr>
        <w:pStyle w:val="ListParagraph"/>
        <w:numPr>
          <w:ilvl w:val="3"/>
          <w:numId w:val="47"/>
        </w:numPr>
        <w:tabs>
          <w:tab w:val="left" w:pos="1276"/>
        </w:tabs>
        <w:spacing w:after="120"/>
        <w:ind w:left="709" w:right="777" w:hanging="357"/>
        <w:contextualSpacing w:val="0"/>
        <w:rPr>
          <w:rFonts w:ascii="Arial" w:eastAsiaTheme="minorEastAsia" w:hAnsi="Arial" w:cs="Arial"/>
          <w:color w:val="323E48"/>
          <w:sz w:val="22"/>
          <w:szCs w:val="18"/>
          <w:lang w:val="en-US" w:bidi="hi-IN"/>
        </w:rPr>
      </w:pPr>
      <w:r w:rsidRPr="00F34851">
        <w:rPr>
          <w:rFonts w:ascii="Arial" w:eastAsiaTheme="minorEastAsia" w:hAnsi="Arial" w:cs="Arial"/>
          <w:color w:val="323E48"/>
          <w:sz w:val="22"/>
          <w:szCs w:val="18"/>
          <w:lang w:val="en-US" w:bidi="hi-IN"/>
        </w:rPr>
        <w:t>four decorative urn</w:t>
      </w:r>
      <w:r w:rsidR="00892643">
        <w:rPr>
          <w:rFonts w:ascii="Arial" w:eastAsiaTheme="minorEastAsia" w:hAnsi="Arial" w:cs="Arial"/>
          <w:color w:val="323E48"/>
          <w:sz w:val="22"/>
          <w:szCs w:val="18"/>
          <w:lang w:val="en-US" w:bidi="hi-IN"/>
        </w:rPr>
        <w:t>s</w:t>
      </w:r>
      <w:r>
        <w:rPr>
          <w:rFonts w:ascii="Arial" w:eastAsiaTheme="minorEastAsia" w:hAnsi="Arial" w:cs="Arial"/>
          <w:color w:val="323E48"/>
          <w:sz w:val="22"/>
          <w:szCs w:val="18"/>
          <w:lang w:val="en-US" w:bidi="hi-IN"/>
        </w:rPr>
        <w:t>.</w:t>
      </w:r>
    </w:p>
    <w:p w14:paraId="2ABD41F4" w14:textId="1255C58D" w:rsidR="00F34851" w:rsidRDefault="00F34851" w:rsidP="00F34851">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An experienced conservation architect must be engaged to document and supervise the reconstruction of the decorative pediment referred to in Condition 3. The </w:t>
      </w:r>
      <w:r w:rsidR="00A353BA">
        <w:rPr>
          <w:rFonts w:ascii="Arial" w:eastAsiaTheme="minorEastAsia" w:hAnsi="Arial" w:cs="Arial"/>
          <w:color w:val="323E48"/>
          <w:sz w:val="22"/>
          <w:szCs w:val="18"/>
          <w:lang w:val="en-US" w:bidi="hi-IN"/>
        </w:rPr>
        <w:t xml:space="preserve">selected </w:t>
      </w:r>
      <w:r>
        <w:rPr>
          <w:rFonts w:ascii="Arial" w:eastAsiaTheme="minorEastAsia" w:hAnsi="Arial" w:cs="Arial"/>
          <w:color w:val="323E48"/>
          <w:sz w:val="22"/>
          <w:szCs w:val="18"/>
          <w:lang w:val="en-US" w:bidi="hi-IN"/>
        </w:rPr>
        <w:t>cons</w:t>
      </w:r>
      <w:r w:rsidR="00802A17">
        <w:rPr>
          <w:rFonts w:ascii="Arial" w:eastAsiaTheme="minorEastAsia" w:hAnsi="Arial" w:cs="Arial"/>
          <w:color w:val="323E48"/>
          <w:sz w:val="22"/>
          <w:szCs w:val="18"/>
          <w:lang w:val="en-US" w:bidi="hi-IN"/>
        </w:rPr>
        <w:t>ervation architect</w:t>
      </w:r>
      <w:r w:rsidR="00A353BA">
        <w:rPr>
          <w:rFonts w:ascii="Arial" w:eastAsiaTheme="minorEastAsia" w:hAnsi="Arial" w:cs="Arial"/>
          <w:color w:val="323E48"/>
          <w:sz w:val="22"/>
          <w:szCs w:val="18"/>
          <w:lang w:val="en-US" w:bidi="hi-IN"/>
        </w:rPr>
        <w:t>’s name</w:t>
      </w:r>
      <w:r w:rsidR="00802A17">
        <w:rPr>
          <w:rFonts w:ascii="Arial" w:eastAsiaTheme="minorEastAsia" w:hAnsi="Arial" w:cs="Arial"/>
          <w:color w:val="323E48"/>
          <w:sz w:val="22"/>
          <w:szCs w:val="18"/>
          <w:lang w:val="en-US" w:bidi="hi-IN"/>
        </w:rPr>
        <w:t xml:space="preserve"> must be </w:t>
      </w:r>
      <w:r w:rsidR="00A353BA">
        <w:rPr>
          <w:rFonts w:ascii="Arial" w:eastAsiaTheme="minorEastAsia" w:hAnsi="Arial" w:cs="Arial"/>
          <w:color w:val="323E48"/>
          <w:sz w:val="22"/>
          <w:szCs w:val="18"/>
          <w:lang w:val="en-US" w:bidi="hi-IN"/>
        </w:rPr>
        <w:t>submitted to and approved in writing by the Executive Director, Heritage Victoria prior to being engaged to provide these services.</w:t>
      </w:r>
    </w:p>
    <w:p w14:paraId="7F887834" w14:textId="126FE974" w:rsidR="00457D72" w:rsidRPr="000411B7" w:rsidRDefault="0024029F" w:rsidP="000411B7">
      <w:pPr>
        <w:tabs>
          <w:tab w:val="left" w:pos="1276"/>
        </w:tabs>
        <w:spacing w:after="120"/>
        <w:ind w:right="777"/>
        <w:rPr>
          <w:rFonts w:ascii="Arial" w:eastAsiaTheme="minorEastAsia" w:hAnsi="Arial" w:cs="Arial"/>
          <w:b/>
          <w:color w:val="323E48"/>
          <w:sz w:val="22"/>
          <w:szCs w:val="18"/>
          <w:lang w:val="en-US" w:bidi="hi-IN"/>
        </w:rPr>
      </w:pPr>
      <w:r>
        <w:rPr>
          <w:rFonts w:ascii="Arial" w:eastAsiaTheme="minorEastAsia" w:hAnsi="Arial" w:cs="Arial"/>
          <w:b/>
          <w:color w:val="323E48"/>
          <w:sz w:val="22"/>
          <w:szCs w:val="18"/>
          <w:lang w:val="en-US" w:bidi="hi-IN"/>
        </w:rPr>
        <w:t>Finishes and treatment</w:t>
      </w:r>
      <w:r w:rsidR="00457D72" w:rsidRPr="000411B7">
        <w:rPr>
          <w:rFonts w:ascii="Arial" w:eastAsiaTheme="minorEastAsia" w:hAnsi="Arial" w:cs="Arial"/>
          <w:b/>
          <w:color w:val="323E48"/>
          <w:sz w:val="22"/>
          <w:szCs w:val="18"/>
          <w:lang w:val="en-US" w:bidi="hi-IN"/>
        </w:rPr>
        <w:t xml:space="preserve"> of </w:t>
      </w:r>
      <w:r>
        <w:rPr>
          <w:rFonts w:ascii="Arial" w:eastAsiaTheme="minorEastAsia" w:hAnsi="Arial" w:cs="Arial"/>
          <w:b/>
          <w:color w:val="323E48"/>
          <w:sz w:val="22"/>
          <w:szCs w:val="18"/>
          <w:lang w:val="en-US" w:bidi="hi-IN"/>
        </w:rPr>
        <w:t xml:space="preserve">the </w:t>
      </w:r>
      <w:r w:rsidR="00457D72" w:rsidRPr="000411B7">
        <w:rPr>
          <w:rFonts w:ascii="Arial" w:eastAsiaTheme="minorEastAsia" w:hAnsi="Arial" w:cs="Arial"/>
          <w:b/>
          <w:color w:val="323E48"/>
          <w:sz w:val="22"/>
          <w:szCs w:val="18"/>
          <w:lang w:val="en-US" w:bidi="hi-IN"/>
        </w:rPr>
        <w:t xml:space="preserve">rear wall to </w:t>
      </w:r>
      <w:r>
        <w:rPr>
          <w:rFonts w:ascii="Arial" w:eastAsiaTheme="minorEastAsia" w:hAnsi="Arial" w:cs="Arial"/>
          <w:b/>
          <w:color w:val="323E48"/>
          <w:sz w:val="22"/>
          <w:szCs w:val="18"/>
          <w:lang w:val="en-US" w:bidi="hi-IN"/>
        </w:rPr>
        <w:t xml:space="preserve">the </w:t>
      </w:r>
      <w:r w:rsidR="00457D72" w:rsidRPr="000411B7">
        <w:rPr>
          <w:rFonts w:ascii="Arial" w:eastAsiaTheme="minorEastAsia" w:hAnsi="Arial" w:cs="Arial"/>
          <w:b/>
          <w:color w:val="323E48"/>
          <w:sz w:val="22"/>
          <w:szCs w:val="18"/>
          <w:lang w:val="en-US" w:bidi="hi-IN"/>
        </w:rPr>
        <w:t>service wing</w:t>
      </w:r>
    </w:p>
    <w:p w14:paraId="6EB4FB7C" w14:textId="0E0A4CF2" w:rsidR="00077E87" w:rsidRDefault="0024029F" w:rsidP="0001532E">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Prior to the commencement of any works approved by this permit, d</w:t>
      </w:r>
      <w:r w:rsidR="00457D72">
        <w:rPr>
          <w:rFonts w:ascii="Arial" w:eastAsiaTheme="minorEastAsia" w:hAnsi="Arial" w:cs="Arial"/>
          <w:color w:val="323E48"/>
          <w:sz w:val="22"/>
          <w:szCs w:val="18"/>
          <w:lang w:val="en-US" w:bidi="hi-IN"/>
        </w:rPr>
        <w:t>etails of the finish</w:t>
      </w:r>
      <w:r w:rsidR="00077E87">
        <w:rPr>
          <w:rFonts w:ascii="Arial" w:eastAsiaTheme="minorEastAsia" w:hAnsi="Arial" w:cs="Arial"/>
          <w:color w:val="323E48"/>
          <w:sz w:val="22"/>
          <w:szCs w:val="18"/>
          <w:lang w:val="en-US" w:bidi="hi-IN"/>
        </w:rPr>
        <w:t>es and treatment to the fireplaces</w:t>
      </w:r>
      <w:r w:rsidR="00457D72">
        <w:rPr>
          <w:rFonts w:ascii="Arial" w:eastAsiaTheme="minorEastAsia" w:hAnsi="Arial" w:cs="Arial"/>
          <w:color w:val="323E48"/>
          <w:sz w:val="22"/>
          <w:szCs w:val="18"/>
          <w:lang w:val="en-US" w:bidi="hi-IN"/>
        </w:rPr>
        <w:t xml:space="preserve"> </w:t>
      </w:r>
      <w:r>
        <w:rPr>
          <w:rFonts w:ascii="Arial" w:eastAsiaTheme="minorEastAsia" w:hAnsi="Arial" w:cs="Arial"/>
          <w:color w:val="323E48"/>
          <w:sz w:val="22"/>
          <w:szCs w:val="18"/>
          <w:lang w:val="en-US" w:bidi="hi-IN"/>
        </w:rPr>
        <w:t>in the west</w:t>
      </w:r>
      <w:r w:rsidR="0012136E">
        <w:rPr>
          <w:rFonts w:ascii="Arial" w:eastAsiaTheme="minorEastAsia" w:hAnsi="Arial" w:cs="Arial"/>
          <w:color w:val="323E48"/>
          <w:sz w:val="22"/>
          <w:szCs w:val="18"/>
          <w:lang w:val="en-US" w:bidi="hi-IN"/>
        </w:rPr>
        <w:t>-facing</w:t>
      </w:r>
      <w:r w:rsidR="00457D72">
        <w:rPr>
          <w:rFonts w:ascii="Arial" w:eastAsiaTheme="minorEastAsia" w:hAnsi="Arial" w:cs="Arial"/>
          <w:color w:val="323E48"/>
          <w:sz w:val="22"/>
          <w:szCs w:val="18"/>
          <w:lang w:val="en-US" w:bidi="hi-IN"/>
        </w:rPr>
        <w:t xml:space="preserve"> wall of the service wing </w:t>
      </w:r>
      <w:r w:rsidR="00077E87">
        <w:rPr>
          <w:rFonts w:ascii="Arial" w:eastAsiaTheme="minorEastAsia" w:hAnsi="Arial" w:cs="Arial"/>
          <w:color w:val="323E48"/>
          <w:sz w:val="22"/>
          <w:szCs w:val="18"/>
          <w:lang w:val="en-US" w:bidi="hi-IN"/>
        </w:rPr>
        <w:t xml:space="preserve">that is </w:t>
      </w:r>
      <w:r w:rsidR="00457D72">
        <w:rPr>
          <w:rFonts w:ascii="Arial" w:eastAsiaTheme="minorEastAsia" w:hAnsi="Arial" w:cs="Arial"/>
          <w:color w:val="323E48"/>
          <w:sz w:val="22"/>
          <w:szCs w:val="18"/>
          <w:lang w:val="en-US" w:bidi="hi-IN"/>
        </w:rPr>
        <w:t xml:space="preserve">exposed through demolition </w:t>
      </w:r>
      <w:r>
        <w:rPr>
          <w:rFonts w:ascii="Arial" w:eastAsiaTheme="minorEastAsia" w:hAnsi="Arial" w:cs="Arial"/>
          <w:color w:val="323E48"/>
          <w:sz w:val="22"/>
          <w:szCs w:val="18"/>
          <w:lang w:val="en-US" w:bidi="hi-IN"/>
        </w:rPr>
        <w:t>must</w:t>
      </w:r>
      <w:r w:rsidR="00457D72">
        <w:rPr>
          <w:rFonts w:ascii="Arial" w:eastAsiaTheme="minorEastAsia" w:hAnsi="Arial" w:cs="Arial"/>
          <w:color w:val="323E48"/>
          <w:sz w:val="22"/>
          <w:szCs w:val="18"/>
          <w:lang w:val="en-US" w:bidi="hi-IN"/>
        </w:rPr>
        <w:t xml:space="preserve"> be submitted for endorsement by the Executive Director</w:t>
      </w:r>
      <w:r>
        <w:rPr>
          <w:rFonts w:ascii="Arial" w:eastAsiaTheme="minorEastAsia" w:hAnsi="Arial" w:cs="Arial"/>
          <w:color w:val="323E48"/>
          <w:sz w:val="22"/>
          <w:szCs w:val="18"/>
          <w:lang w:val="en-US" w:bidi="hi-IN"/>
        </w:rPr>
        <w:t>, Heritage Victoria</w:t>
      </w:r>
      <w:r w:rsidR="00077E87">
        <w:rPr>
          <w:rFonts w:ascii="Arial" w:eastAsiaTheme="minorEastAsia" w:hAnsi="Arial" w:cs="Arial"/>
          <w:color w:val="323E48"/>
          <w:sz w:val="22"/>
          <w:szCs w:val="18"/>
          <w:lang w:val="en-US" w:bidi="hi-IN"/>
        </w:rPr>
        <w:t>.</w:t>
      </w:r>
    </w:p>
    <w:p w14:paraId="634EDF8B" w14:textId="6DB0A6B6" w:rsidR="0001532E" w:rsidRDefault="0024029F" w:rsidP="0001532E">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Prior to the commencement of any works approved by this permit, d</w:t>
      </w:r>
      <w:r w:rsidR="00077E87">
        <w:rPr>
          <w:rFonts w:ascii="Arial" w:eastAsiaTheme="minorEastAsia" w:hAnsi="Arial" w:cs="Arial"/>
          <w:color w:val="323E48"/>
          <w:sz w:val="22"/>
          <w:szCs w:val="18"/>
          <w:lang w:val="en-US" w:bidi="hi-IN"/>
        </w:rPr>
        <w:t xml:space="preserve">etails of the waterproofing </w:t>
      </w:r>
      <w:r>
        <w:rPr>
          <w:rFonts w:ascii="Arial" w:eastAsiaTheme="minorEastAsia" w:hAnsi="Arial" w:cs="Arial"/>
          <w:color w:val="323E48"/>
          <w:sz w:val="22"/>
          <w:szCs w:val="18"/>
          <w:lang w:val="en-US" w:bidi="hi-IN"/>
        </w:rPr>
        <w:t>of</w:t>
      </w:r>
      <w:r w:rsidR="00077E87">
        <w:rPr>
          <w:rFonts w:ascii="Arial" w:eastAsiaTheme="minorEastAsia" w:hAnsi="Arial" w:cs="Arial"/>
          <w:color w:val="323E48"/>
          <w:sz w:val="22"/>
          <w:szCs w:val="18"/>
          <w:lang w:val="en-US" w:bidi="hi-IN"/>
        </w:rPr>
        <w:t xml:space="preserve"> the </w:t>
      </w:r>
      <w:r>
        <w:rPr>
          <w:rFonts w:ascii="Arial" w:eastAsiaTheme="minorEastAsia" w:hAnsi="Arial" w:cs="Arial"/>
          <w:color w:val="323E48"/>
          <w:sz w:val="22"/>
          <w:szCs w:val="18"/>
          <w:lang w:val="en-US" w:bidi="hi-IN"/>
        </w:rPr>
        <w:t>west</w:t>
      </w:r>
      <w:r w:rsidR="0012136E">
        <w:rPr>
          <w:rFonts w:ascii="Arial" w:eastAsiaTheme="minorEastAsia" w:hAnsi="Arial" w:cs="Arial"/>
          <w:color w:val="323E48"/>
          <w:sz w:val="22"/>
          <w:szCs w:val="18"/>
          <w:lang w:val="en-US" w:bidi="hi-IN"/>
        </w:rPr>
        <w:t>-facing</w:t>
      </w:r>
      <w:r>
        <w:rPr>
          <w:rFonts w:ascii="Arial" w:eastAsiaTheme="minorEastAsia" w:hAnsi="Arial" w:cs="Arial"/>
          <w:color w:val="323E48"/>
          <w:sz w:val="22"/>
          <w:szCs w:val="18"/>
          <w:lang w:val="en-US" w:bidi="hi-IN"/>
        </w:rPr>
        <w:t xml:space="preserve"> </w:t>
      </w:r>
      <w:r w:rsidR="00077E87">
        <w:rPr>
          <w:rFonts w:ascii="Arial" w:eastAsiaTheme="minorEastAsia" w:hAnsi="Arial" w:cs="Arial"/>
          <w:color w:val="323E48"/>
          <w:sz w:val="22"/>
          <w:szCs w:val="18"/>
          <w:lang w:val="en-US" w:bidi="hi-IN"/>
        </w:rPr>
        <w:t xml:space="preserve">wall </w:t>
      </w:r>
      <w:r w:rsidR="0012136E">
        <w:rPr>
          <w:rFonts w:ascii="Arial" w:eastAsiaTheme="minorEastAsia" w:hAnsi="Arial" w:cs="Arial"/>
          <w:color w:val="323E48"/>
          <w:sz w:val="22"/>
          <w:szCs w:val="18"/>
          <w:lang w:val="en-US" w:bidi="hi-IN"/>
        </w:rPr>
        <w:t xml:space="preserve">and fireplace on the first floor of the service wing </w:t>
      </w:r>
      <w:r w:rsidR="00077E87">
        <w:rPr>
          <w:rFonts w:ascii="Arial" w:eastAsiaTheme="minorEastAsia" w:hAnsi="Arial" w:cs="Arial"/>
          <w:color w:val="323E48"/>
          <w:sz w:val="22"/>
          <w:szCs w:val="18"/>
          <w:lang w:val="en-US" w:bidi="hi-IN"/>
        </w:rPr>
        <w:t xml:space="preserve">that </w:t>
      </w:r>
      <w:r w:rsidR="0012136E">
        <w:rPr>
          <w:rFonts w:ascii="Arial" w:eastAsiaTheme="minorEastAsia" w:hAnsi="Arial" w:cs="Arial"/>
          <w:color w:val="323E48"/>
          <w:sz w:val="22"/>
          <w:szCs w:val="18"/>
          <w:lang w:val="en-US" w:bidi="hi-IN"/>
        </w:rPr>
        <w:t>are</w:t>
      </w:r>
      <w:r w:rsidR="00077E87">
        <w:rPr>
          <w:rFonts w:ascii="Arial" w:eastAsiaTheme="minorEastAsia" w:hAnsi="Arial" w:cs="Arial"/>
          <w:color w:val="323E48"/>
          <w:sz w:val="22"/>
          <w:szCs w:val="18"/>
          <w:lang w:val="en-US" w:bidi="hi-IN"/>
        </w:rPr>
        <w:t xml:space="preserve"> exposed </w:t>
      </w:r>
      <w:r w:rsidR="0012136E">
        <w:rPr>
          <w:rFonts w:ascii="Arial" w:eastAsiaTheme="minorEastAsia" w:hAnsi="Arial" w:cs="Arial"/>
          <w:color w:val="323E48"/>
          <w:sz w:val="22"/>
          <w:szCs w:val="18"/>
          <w:lang w:val="en-US" w:bidi="hi-IN"/>
        </w:rPr>
        <w:t>through demolition</w:t>
      </w:r>
      <w:r w:rsidR="009B1036">
        <w:rPr>
          <w:rFonts w:ascii="Arial" w:eastAsiaTheme="minorEastAsia" w:hAnsi="Arial" w:cs="Arial"/>
          <w:color w:val="323E48"/>
          <w:sz w:val="22"/>
          <w:szCs w:val="18"/>
          <w:lang w:val="en-US" w:bidi="hi-IN"/>
        </w:rPr>
        <w:t xml:space="preserve">, </w:t>
      </w:r>
      <w:r>
        <w:rPr>
          <w:rFonts w:ascii="Arial" w:eastAsiaTheme="minorEastAsia" w:hAnsi="Arial" w:cs="Arial"/>
          <w:color w:val="323E48"/>
          <w:sz w:val="22"/>
          <w:szCs w:val="18"/>
          <w:lang w:val="en-US" w:bidi="hi-IN"/>
        </w:rPr>
        <w:t xml:space="preserve">must </w:t>
      </w:r>
      <w:r w:rsidR="00077E87">
        <w:rPr>
          <w:rFonts w:ascii="Arial" w:eastAsiaTheme="minorEastAsia" w:hAnsi="Arial" w:cs="Arial"/>
          <w:color w:val="323E48"/>
          <w:sz w:val="22"/>
          <w:szCs w:val="18"/>
          <w:lang w:val="en-US" w:bidi="hi-IN"/>
        </w:rPr>
        <w:t xml:space="preserve">be </w:t>
      </w:r>
      <w:r>
        <w:rPr>
          <w:rFonts w:ascii="Arial" w:eastAsiaTheme="minorEastAsia" w:hAnsi="Arial" w:cs="Arial"/>
          <w:color w:val="323E48"/>
          <w:sz w:val="22"/>
          <w:szCs w:val="18"/>
          <w:lang w:val="en-US" w:bidi="hi-IN"/>
        </w:rPr>
        <w:t xml:space="preserve">submitted to </w:t>
      </w:r>
      <w:r>
        <w:rPr>
          <w:rFonts w:ascii="Arial" w:eastAsiaTheme="minorEastAsia" w:hAnsi="Arial" w:cs="Arial"/>
          <w:color w:val="323E48"/>
          <w:sz w:val="22"/>
          <w:szCs w:val="18"/>
          <w:lang w:val="en-US" w:bidi="hi-IN"/>
        </w:rPr>
        <w:lastRenderedPageBreak/>
        <w:t xml:space="preserve">and </w:t>
      </w:r>
      <w:r w:rsidR="00077E87">
        <w:rPr>
          <w:rFonts w:ascii="Arial" w:eastAsiaTheme="minorEastAsia" w:hAnsi="Arial" w:cs="Arial"/>
          <w:color w:val="323E48"/>
          <w:sz w:val="22"/>
          <w:szCs w:val="18"/>
          <w:lang w:val="en-US" w:bidi="hi-IN"/>
        </w:rPr>
        <w:t>endorse</w:t>
      </w:r>
      <w:r>
        <w:rPr>
          <w:rFonts w:ascii="Arial" w:eastAsiaTheme="minorEastAsia" w:hAnsi="Arial" w:cs="Arial"/>
          <w:color w:val="323E48"/>
          <w:sz w:val="22"/>
          <w:szCs w:val="18"/>
          <w:lang w:val="en-US" w:bidi="hi-IN"/>
        </w:rPr>
        <w:t xml:space="preserve">d </w:t>
      </w:r>
      <w:r w:rsidR="00077E87">
        <w:rPr>
          <w:rFonts w:ascii="Arial" w:eastAsiaTheme="minorEastAsia" w:hAnsi="Arial" w:cs="Arial"/>
          <w:color w:val="323E48"/>
          <w:sz w:val="22"/>
          <w:szCs w:val="18"/>
          <w:lang w:val="en-US" w:bidi="hi-IN"/>
        </w:rPr>
        <w:t xml:space="preserve">by the </w:t>
      </w:r>
      <w:r>
        <w:rPr>
          <w:rFonts w:ascii="Arial" w:eastAsiaTheme="minorEastAsia" w:hAnsi="Arial" w:cs="Arial"/>
          <w:color w:val="323E48"/>
          <w:sz w:val="22"/>
          <w:szCs w:val="18"/>
          <w:lang w:val="en-US" w:bidi="hi-IN"/>
        </w:rPr>
        <w:t>Executive Director, Heritage Victoria</w:t>
      </w:r>
      <w:r w:rsidR="00077E87">
        <w:rPr>
          <w:rFonts w:ascii="Arial" w:eastAsiaTheme="minorEastAsia" w:hAnsi="Arial" w:cs="Arial"/>
          <w:color w:val="323E48"/>
          <w:sz w:val="22"/>
          <w:szCs w:val="18"/>
          <w:lang w:val="en-US" w:bidi="hi-IN"/>
        </w:rPr>
        <w:t xml:space="preserve">. Works to this wall </w:t>
      </w:r>
      <w:r>
        <w:rPr>
          <w:rFonts w:ascii="Arial" w:eastAsiaTheme="minorEastAsia" w:hAnsi="Arial" w:cs="Arial"/>
          <w:color w:val="323E48"/>
          <w:sz w:val="22"/>
          <w:szCs w:val="18"/>
          <w:lang w:val="en-US" w:bidi="hi-IN"/>
        </w:rPr>
        <w:t xml:space="preserve">must </w:t>
      </w:r>
      <w:r w:rsidR="00F60023">
        <w:rPr>
          <w:rFonts w:ascii="Arial" w:eastAsiaTheme="minorEastAsia" w:hAnsi="Arial" w:cs="Arial"/>
          <w:color w:val="323E48"/>
          <w:sz w:val="22"/>
          <w:szCs w:val="18"/>
          <w:lang w:val="en-US" w:bidi="hi-IN"/>
        </w:rPr>
        <w:t xml:space="preserve">be carried out in a manner that </w:t>
      </w:r>
      <w:r w:rsidR="00077E87">
        <w:rPr>
          <w:rFonts w:ascii="Arial" w:eastAsiaTheme="minorEastAsia" w:hAnsi="Arial" w:cs="Arial"/>
          <w:color w:val="323E48"/>
          <w:sz w:val="22"/>
          <w:szCs w:val="18"/>
          <w:lang w:val="en-US" w:bidi="hi-IN"/>
        </w:rPr>
        <w:t>conserve</w:t>
      </w:r>
      <w:r w:rsidR="00F60023">
        <w:rPr>
          <w:rFonts w:ascii="Arial" w:eastAsiaTheme="minorEastAsia" w:hAnsi="Arial" w:cs="Arial"/>
          <w:color w:val="323E48"/>
          <w:sz w:val="22"/>
          <w:szCs w:val="18"/>
          <w:lang w:val="en-US" w:bidi="hi-IN"/>
        </w:rPr>
        <w:t>s</w:t>
      </w:r>
      <w:r w:rsidR="00077E87">
        <w:rPr>
          <w:rFonts w:ascii="Arial" w:eastAsiaTheme="minorEastAsia" w:hAnsi="Arial" w:cs="Arial"/>
          <w:color w:val="323E48"/>
          <w:sz w:val="22"/>
          <w:szCs w:val="18"/>
          <w:lang w:val="en-US" w:bidi="hi-IN"/>
        </w:rPr>
        <w:t xml:space="preserve"> and protect</w:t>
      </w:r>
      <w:r w:rsidR="00F60023">
        <w:rPr>
          <w:rFonts w:ascii="Arial" w:eastAsiaTheme="minorEastAsia" w:hAnsi="Arial" w:cs="Arial"/>
          <w:color w:val="323E48"/>
          <w:sz w:val="22"/>
          <w:szCs w:val="18"/>
          <w:lang w:val="en-US" w:bidi="hi-IN"/>
        </w:rPr>
        <w:t>s</w:t>
      </w:r>
      <w:r w:rsidR="00077E87">
        <w:rPr>
          <w:rFonts w:ascii="Arial" w:eastAsiaTheme="minorEastAsia" w:hAnsi="Arial" w:cs="Arial"/>
          <w:color w:val="323E48"/>
          <w:sz w:val="22"/>
          <w:szCs w:val="18"/>
          <w:lang w:val="en-US" w:bidi="hi-IN"/>
        </w:rPr>
        <w:t xml:space="preserve"> </w:t>
      </w:r>
      <w:r w:rsidR="00F60023">
        <w:rPr>
          <w:rFonts w:ascii="Arial" w:eastAsiaTheme="minorEastAsia" w:hAnsi="Arial" w:cs="Arial"/>
          <w:color w:val="323E48"/>
          <w:sz w:val="22"/>
          <w:szCs w:val="18"/>
          <w:lang w:val="en-US" w:bidi="hi-IN"/>
        </w:rPr>
        <w:t xml:space="preserve">the </w:t>
      </w:r>
      <w:r w:rsidR="00077E87">
        <w:rPr>
          <w:rFonts w:ascii="Arial" w:eastAsiaTheme="minorEastAsia" w:hAnsi="Arial" w:cs="Arial"/>
          <w:color w:val="323E48"/>
          <w:sz w:val="22"/>
          <w:szCs w:val="18"/>
          <w:lang w:val="en-US" w:bidi="hi-IN"/>
        </w:rPr>
        <w:t>brickwork.</w:t>
      </w:r>
    </w:p>
    <w:p w14:paraId="359B3A25" w14:textId="20B1BD0F" w:rsidR="0001532E" w:rsidRPr="00077E87" w:rsidRDefault="0001532E" w:rsidP="0001532E">
      <w:pPr>
        <w:tabs>
          <w:tab w:val="left" w:pos="1276"/>
        </w:tabs>
        <w:spacing w:after="120"/>
        <w:ind w:right="777"/>
        <w:rPr>
          <w:rFonts w:ascii="Arial" w:eastAsiaTheme="minorEastAsia" w:hAnsi="Arial" w:cs="Arial"/>
          <w:b/>
          <w:bCs/>
          <w:color w:val="323E48"/>
          <w:sz w:val="22"/>
          <w:szCs w:val="18"/>
          <w:lang w:val="en-US" w:bidi="hi-IN"/>
        </w:rPr>
      </w:pPr>
      <w:r w:rsidRPr="00077E87">
        <w:rPr>
          <w:rFonts w:ascii="Arial" w:eastAsiaTheme="minorEastAsia" w:hAnsi="Arial" w:cs="Arial"/>
          <w:b/>
          <w:bCs/>
          <w:color w:val="323E48"/>
          <w:sz w:val="22"/>
          <w:szCs w:val="18"/>
          <w:lang w:val="en-US" w:bidi="hi-IN"/>
        </w:rPr>
        <w:t xml:space="preserve">Treatment of doors and windows to </w:t>
      </w:r>
      <w:r w:rsidR="0012136E">
        <w:rPr>
          <w:rFonts w:ascii="Arial" w:eastAsiaTheme="minorEastAsia" w:hAnsi="Arial" w:cs="Arial"/>
          <w:b/>
          <w:bCs/>
          <w:color w:val="323E48"/>
          <w:sz w:val="22"/>
          <w:szCs w:val="18"/>
          <w:lang w:val="en-US" w:bidi="hi-IN"/>
        </w:rPr>
        <w:t xml:space="preserve">the </w:t>
      </w:r>
      <w:r w:rsidRPr="00077E87">
        <w:rPr>
          <w:rFonts w:ascii="Arial" w:eastAsiaTheme="minorEastAsia" w:hAnsi="Arial" w:cs="Arial"/>
          <w:b/>
          <w:bCs/>
          <w:color w:val="323E48"/>
          <w:sz w:val="22"/>
          <w:szCs w:val="18"/>
          <w:lang w:val="en-US" w:bidi="hi-IN"/>
        </w:rPr>
        <w:t>service wing</w:t>
      </w:r>
    </w:p>
    <w:p w14:paraId="5FA12FB1" w14:textId="31BC063F" w:rsidR="0001532E" w:rsidRPr="000411B7" w:rsidRDefault="00077E87" w:rsidP="000411B7">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The original door and window</w:t>
      </w:r>
      <w:r w:rsidR="00770FAA">
        <w:rPr>
          <w:rFonts w:ascii="Arial" w:eastAsiaTheme="minorEastAsia" w:hAnsi="Arial" w:cs="Arial"/>
          <w:color w:val="323E48"/>
          <w:sz w:val="22"/>
          <w:szCs w:val="18"/>
          <w:lang w:val="en-US" w:bidi="hi-IN"/>
        </w:rPr>
        <w:t xml:space="preserve"> openings</w:t>
      </w:r>
      <w:r>
        <w:rPr>
          <w:rFonts w:ascii="Arial" w:eastAsiaTheme="minorEastAsia" w:hAnsi="Arial" w:cs="Arial"/>
          <w:color w:val="323E48"/>
          <w:sz w:val="22"/>
          <w:szCs w:val="18"/>
          <w:lang w:val="en-US" w:bidi="hi-IN"/>
        </w:rPr>
        <w:t xml:space="preserve"> </w:t>
      </w:r>
      <w:r w:rsidR="00F60023">
        <w:rPr>
          <w:rFonts w:ascii="Arial" w:eastAsiaTheme="minorEastAsia" w:hAnsi="Arial" w:cs="Arial"/>
          <w:color w:val="323E48"/>
          <w:sz w:val="22"/>
          <w:szCs w:val="18"/>
          <w:lang w:val="en-US" w:bidi="hi-IN"/>
        </w:rPr>
        <w:t>in the</w:t>
      </w:r>
      <w:r>
        <w:rPr>
          <w:rFonts w:ascii="Arial" w:eastAsiaTheme="minorEastAsia" w:hAnsi="Arial" w:cs="Arial"/>
          <w:color w:val="323E48"/>
          <w:sz w:val="22"/>
          <w:szCs w:val="18"/>
          <w:lang w:val="en-US" w:bidi="hi-IN"/>
        </w:rPr>
        <w:t xml:space="preserve"> south</w:t>
      </w:r>
      <w:r w:rsidR="00F60023">
        <w:rPr>
          <w:rFonts w:ascii="Arial" w:eastAsiaTheme="minorEastAsia" w:hAnsi="Arial" w:cs="Arial"/>
          <w:color w:val="323E48"/>
          <w:sz w:val="22"/>
          <w:szCs w:val="18"/>
          <w:lang w:val="en-US" w:bidi="hi-IN"/>
        </w:rPr>
        <w:t xml:space="preserve">ern </w:t>
      </w:r>
      <w:r>
        <w:rPr>
          <w:rFonts w:ascii="Arial" w:eastAsiaTheme="minorEastAsia" w:hAnsi="Arial" w:cs="Arial"/>
          <w:color w:val="323E48"/>
          <w:sz w:val="22"/>
          <w:szCs w:val="18"/>
          <w:lang w:val="en-US" w:bidi="hi-IN"/>
        </w:rPr>
        <w:t xml:space="preserve">wall of the </w:t>
      </w:r>
      <w:r w:rsidR="00F60023">
        <w:rPr>
          <w:rFonts w:ascii="Arial" w:eastAsiaTheme="minorEastAsia" w:hAnsi="Arial" w:cs="Arial"/>
          <w:color w:val="323E48"/>
          <w:sz w:val="22"/>
          <w:szCs w:val="18"/>
          <w:lang w:val="en-US" w:bidi="hi-IN"/>
        </w:rPr>
        <w:t>two-</w:t>
      </w:r>
      <w:proofErr w:type="spellStart"/>
      <w:r w:rsidR="00F60023">
        <w:rPr>
          <w:rFonts w:ascii="Arial" w:eastAsiaTheme="minorEastAsia" w:hAnsi="Arial" w:cs="Arial"/>
          <w:color w:val="323E48"/>
          <w:sz w:val="22"/>
          <w:szCs w:val="18"/>
          <w:lang w:val="en-US" w:bidi="hi-IN"/>
        </w:rPr>
        <w:t>storey</w:t>
      </w:r>
      <w:proofErr w:type="spellEnd"/>
      <w:r w:rsidR="00F60023">
        <w:rPr>
          <w:rFonts w:ascii="Arial" w:eastAsiaTheme="minorEastAsia" w:hAnsi="Arial" w:cs="Arial"/>
          <w:color w:val="323E48"/>
          <w:sz w:val="22"/>
          <w:szCs w:val="18"/>
          <w:lang w:val="en-US" w:bidi="hi-IN"/>
        </w:rPr>
        <w:t xml:space="preserve"> </w:t>
      </w:r>
      <w:r>
        <w:rPr>
          <w:rFonts w:ascii="Arial" w:eastAsiaTheme="minorEastAsia" w:hAnsi="Arial" w:cs="Arial"/>
          <w:color w:val="323E48"/>
          <w:sz w:val="22"/>
          <w:szCs w:val="18"/>
          <w:lang w:val="en-US" w:bidi="hi-IN"/>
        </w:rPr>
        <w:t xml:space="preserve">service wing </w:t>
      </w:r>
      <w:r w:rsidR="00F60023">
        <w:rPr>
          <w:rFonts w:ascii="Arial" w:eastAsiaTheme="minorEastAsia" w:hAnsi="Arial" w:cs="Arial"/>
          <w:color w:val="323E48"/>
          <w:sz w:val="22"/>
          <w:szCs w:val="18"/>
          <w:lang w:val="en-US" w:bidi="hi-IN"/>
        </w:rPr>
        <w:t>must</w:t>
      </w:r>
      <w:r w:rsidR="00770FAA">
        <w:rPr>
          <w:rFonts w:ascii="Arial" w:eastAsiaTheme="minorEastAsia" w:hAnsi="Arial" w:cs="Arial"/>
          <w:color w:val="323E48"/>
          <w:sz w:val="22"/>
          <w:szCs w:val="18"/>
          <w:lang w:val="en-US" w:bidi="hi-IN"/>
        </w:rPr>
        <w:t xml:space="preserve"> be retained</w:t>
      </w:r>
      <w:r w:rsidR="00F60023">
        <w:rPr>
          <w:rFonts w:ascii="Arial" w:eastAsiaTheme="minorEastAsia" w:hAnsi="Arial" w:cs="Arial"/>
          <w:color w:val="323E48"/>
          <w:sz w:val="22"/>
          <w:szCs w:val="18"/>
          <w:lang w:val="en-US" w:bidi="hi-IN"/>
        </w:rPr>
        <w:t>, and the w</w:t>
      </w:r>
      <w:r w:rsidR="00770FAA">
        <w:rPr>
          <w:rFonts w:ascii="Arial" w:eastAsiaTheme="minorEastAsia" w:hAnsi="Arial" w:cs="Arial"/>
          <w:color w:val="323E48"/>
          <w:sz w:val="22"/>
          <w:szCs w:val="18"/>
          <w:lang w:val="en-US" w:bidi="hi-IN"/>
        </w:rPr>
        <w:t xml:space="preserve">indow and door joinery </w:t>
      </w:r>
      <w:r w:rsidR="00F60023">
        <w:rPr>
          <w:rFonts w:ascii="Arial" w:eastAsiaTheme="minorEastAsia" w:hAnsi="Arial" w:cs="Arial"/>
          <w:color w:val="323E48"/>
          <w:sz w:val="22"/>
          <w:szCs w:val="18"/>
          <w:lang w:val="en-US" w:bidi="hi-IN"/>
        </w:rPr>
        <w:t>must</w:t>
      </w:r>
      <w:r w:rsidR="00770FAA">
        <w:rPr>
          <w:rFonts w:ascii="Arial" w:eastAsiaTheme="minorEastAsia" w:hAnsi="Arial" w:cs="Arial"/>
          <w:color w:val="323E48"/>
          <w:sz w:val="22"/>
          <w:szCs w:val="18"/>
          <w:lang w:val="en-US" w:bidi="hi-IN"/>
        </w:rPr>
        <w:t xml:space="preserve"> be either conserved or restored to match existing details</w:t>
      </w:r>
      <w:r w:rsidR="00316E66">
        <w:rPr>
          <w:rFonts w:ascii="Arial" w:eastAsiaTheme="minorEastAsia" w:hAnsi="Arial" w:cs="Arial"/>
          <w:color w:val="323E48"/>
          <w:sz w:val="22"/>
          <w:szCs w:val="18"/>
          <w:lang w:val="en-US" w:bidi="hi-IN"/>
        </w:rPr>
        <w:t>, all to the satisfaction of the Executive Director, Heritage Victoria</w:t>
      </w:r>
      <w:r w:rsidR="00770FAA">
        <w:rPr>
          <w:rFonts w:ascii="Arial" w:eastAsiaTheme="minorEastAsia" w:hAnsi="Arial" w:cs="Arial"/>
          <w:color w:val="323E48"/>
          <w:sz w:val="22"/>
          <w:szCs w:val="18"/>
          <w:lang w:val="en-US" w:bidi="hi-IN"/>
        </w:rPr>
        <w:t>.</w:t>
      </w:r>
    </w:p>
    <w:p w14:paraId="67DCDE85" w14:textId="3B3CFC88" w:rsidR="00836C91" w:rsidRPr="00836C91" w:rsidRDefault="00836C91" w:rsidP="00836C91">
      <w:pPr>
        <w:tabs>
          <w:tab w:val="left" w:pos="1276"/>
        </w:tabs>
        <w:spacing w:after="120"/>
        <w:ind w:right="777"/>
        <w:rPr>
          <w:rFonts w:ascii="Arial" w:eastAsiaTheme="minorEastAsia" w:hAnsi="Arial" w:cs="Arial"/>
          <w:b/>
          <w:color w:val="323E48"/>
          <w:sz w:val="22"/>
          <w:szCs w:val="18"/>
          <w:lang w:val="en-US" w:bidi="hi-IN"/>
        </w:rPr>
      </w:pPr>
      <w:r w:rsidRPr="00836C91">
        <w:rPr>
          <w:rFonts w:ascii="Arial" w:eastAsiaTheme="minorEastAsia" w:hAnsi="Arial" w:cs="Arial"/>
          <w:b/>
          <w:color w:val="323E48"/>
          <w:sz w:val="22"/>
          <w:szCs w:val="18"/>
          <w:lang w:val="en-US" w:bidi="hi-IN"/>
        </w:rPr>
        <w:t>Financial security</w:t>
      </w:r>
    </w:p>
    <w:p w14:paraId="72BBA357" w14:textId="10C17500" w:rsidR="00836C91" w:rsidRDefault="00836C91" w:rsidP="00802A17">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Prior to the commencement of any works approved by this permit and in accordance with section 103 of the </w:t>
      </w:r>
      <w:r w:rsidRPr="00836C91">
        <w:rPr>
          <w:rFonts w:ascii="Arial" w:eastAsiaTheme="minorEastAsia" w:hAnsi="Arial" w:cs="Arial"/>
          <w:i/>
          <w:color w:val="323E48"/>
          <w:sz w:val="22"/>
          <w:szCs w:val="18"/>
          <w:lang w:val="en-US" w:bidi="hi-IN"/>
        </w:rPr>
        <w:t>Heritage Act 2017</w:t>
      </w:r>
      <w:r>
        <w:rPr>
          <w:rFonts w:ascii="Arial" w:eastAsiaTheme="minorEastAsia" w:hAnsi="Arial" w:cs="Arial"/>
          <w:color w:val="323E48"/>
          <w:sz w:val="22"/>
          <w:szCs w:val="18"/>
          <w:lang w:val="en-US" w:bidi="hi-IN"/>
        </w:rPr>
        <w:t xml:space="preserve">, a financial security in the form of an unconditional Bank Guarantee must be lodged with the Executive Director. The Bank Guarantee must be issued in </w:t>
      </w:r>
      <w:proofErr w:type="spellStart"/>
      <w:r>
        <w:rPr>
          <w:rFonts w:ascii="Arial" w:eastAsiaTheme="minorEastAsia" w:hAnsi="Arial" w:cs="Arial"/>
          <w:color w:val="323E48"/>
          <w:sz w:val="22"/>
          <w:szCs w:val="18"/>
          <w:lang w:val="en-US" w:bidi="hi-IN"/>
        </w:rPr>
        <w:t>favour</w:t>
      </w:r>
      <w:proofErr w:type="spellEnd"/>
      <w:r>
        <w:rPr>
          <w:rFonts w:ascii="Arial" w:eastAsiaTheme="minorEastAsia" w:hAnsi="Arial" w:cs="Arial"/>
          <w:color w:val="323E48"/>
          <w:sz w:val="22"/>
          <w:szCs w:val="18"/>
          <w:lang w:val="en-US" w:bidi="hi-IN"/>
        </w:rPr>
        <w:t xml:space="preserve"> of the Heritage Council of Victoria (ABN 87 967 501 33) in the amount of $50,000 (fifty-thousand-dollars). It must be unconditional </w:t>
      </w:r>
      <w:proofErr w:type="gramStart"/>
      <w:r>
        <w:rPr>
          <w:rFonts w:ascii="Arial" w:eastAsiaTheme="minorEastAsia" w:hAnsi="Arial" w:cs="Arial"/>
          <w:color w:val="323E48"/>
          <w:sz w:val="22"/>
          <w:szCs w:val="18"/>
          <w:lang w:val="en-US" w:bidi="hi-IN"/>
        </w:rPr>
        <w:t>with regard to</w:t>
      </w:r>
      <w:proofErr w:type="gramEnd"/>
      <w:r>
        <w:rPr>
          <w:rFonts w:ascii="Arial" w:eastAsiaTheme="minorEastAsia" w:hAnsi="Arial" w:cs="Arial"/>
          <w:color w:val="323E48"/>
          <w:sz w:val="22"/>
          <w:szCs w:val="18"/>
          <w:lang w:val="en-US" w:bidi="hi-IN"/>
        </w:rPr>
        <w:t xml:space="preserve"> expiry date and must be returned at the request of the permit holder on the completion of the approved works and any additional works required within the conditions of this permit, to the satisfaction of the Executive Director.</w:t>
      </w:r>
    </w:p>
    <w:p w14:paraId="68B22AA8" w14:textId="19BFFBB6" w:rsidR="00836C91" w:rsidRDefault="00836C91" w:rsidP="00802A17">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The financial security referred to in Condition 5 above must be forfeited to the beneficiary, being the Heritage Council of Victoria, if the works for which it is lodged have not been completed within the validity period of this permit to the satisfaction of the Executive Director, Heritage Victoria.</w:t>
      </w:r>
    </w:p>
    <w:p w14:paraId="08D3C849" w14:textId="1FA6DD32" w:rsidR="00836C91" w:rsidRPr="00836C91" w:rsidRDefault="00836C91" w:rsidP="00836C91">
      <w:pPr>
        <w:tabs>
          <w:tab w:val="left" w:pos="1276"/>
        </w:tabs>
        <w:spacing w:after="120"/>
        <w:ind w:right="777"/>
        <w:rPr>
          <w:rFonts w:ascii="Arial" w:eastAsiaTheme="minorEastAsia" w:hAnsi="Arial" w:cs="Arial"/>
          <w:b/>
          <w:color w:val="323E48"/>
          <w:sz w:val="22"/>
          <w:szCs w:val="18"/>
          <w:lang w:val="en-US" w:bidi="hi-IN"/>
        </w:rPr>
      </w:pPr>
      <w:r w:rsidRPr="00836C91">
        <w:rPr>
          <w:rFonts w:ascii="Arial" w:eastAsiaTheme="minorEastAsia" w:hAnsi="Arial" w:cs="Arial"/>
          <w:b/>
          <w:color w:val="323E48"/>
          <w:sz w:val="22"/>
          <w:szCs w:val="18"/>
          <w:lang w:val="en-US" w:bidi="hi-IN"/>
        </w:rPr>
        <w:t>General conditions</w:t>
      </w:r>
    </w:p>
    <w:p w14:paraId="0209199E" w14:textId="07C417DA" w:rsidR="00802A17" w:rsidRPr="00802A17" w:rsidRDefault="00581529" w:rsidP="00802A17">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sidRPr="00A43AFE">
        <w:rPr>
          <w:rFonts w:ascii="Arial" w:eastAsiaTheme="minorEastAsia" w:hAnsi="Arial" w:cs="Arial"/>
          <w:color w:val="323E48"/>
          <w:sz w:val="22"/>
          <w:szCs w:val="18"/>
          <w:lang w:val="en-US" w:bidi="hi-IN"/>
        </w:rPr>
        <w:t>This permit shall expire if the permitted works have not commenced within</w:t>
      </w:r>
      <w:r w:rsidRPr="00476B77">
        <w:rPr>
          <w:rFonts w:ascii="Arial" w:eastAsiaTheme="minorEastAsia" w:hAnsi="Arial" w:cs="Arial"/>
          <w:color w:val="323E48"/>
          <w:sz w:val="22"/>
          <w:szCs w:val="18"/>
          <w:lang w:val="en-US" w:bidi="hi-IN"/>
        </w:rPr>
        <w:t xml:space="preserve"> two (2) years of the date of issue of this </w:t>
      </w:r>
      <w:proofErr w:type="gramStart"/>
      <w:r w:rsidRPr="00476B77">
        <w:rPr>
          <w:rFonts w:ascii="Arial" w:eastAsiaTheme="minorEastAsia" w:hAnsi="Arial" w:cs="Arial"/>
          <w:color w:val="323E48"/>
          <w:sz w:val="22"/>
          <w:szCs w:val="18"/>
          <w:lang w:val="en-US" w:bidi="hi-IN"/>
        </w:rPr>
        <w:t>permit, and</w:t>
      </w:r>
      <w:proofErr w:type="gramEnd"/>
      <w:r w:rsidRPr="00476B77">
        <w:rPr>
          <w:rFonts w:ascii="Arial" w:eastAsiaTheme="minorEastAsia" w:hAnsi="Arial" w:cs="Arial"/>
          <w:color w:val="323E48"/>
          <w:sz w:val="22"/>
          <w:szCs w:val="18"/>
          <w:lang w:val="en-US" w:bidi="hi-IN"/>
        </w:rPr>
        <w:t xml:space="preserve"> are not completed within four (4) years of the date of issue of this permit unless otherwise agreed in writing by the </w:t>
      </w:r>
      <w:r w:rsidRPr="00476B77">
        <w:rPr>
          <w:rFonts w:ascii="Arial" w:eastAsiaTheme="minorEastAsia" w:hAnsi="Arial" w:cs="Arial"/>
          <w:color w:val="323E48"/>
          <w:sz w:val="22"/>
          <w:szCs w:val="22"/>
          <w:lang w:val="en-US" w:bidi="hi-IN"/>
        </w:rPr>
        <w:t>Executive Director, Heritage Victoria.</w:t>
      </w:r>
    </w:p>
    <w:p w14:paraId="68D38CE6" w14:textId="77777777" w:rsidR="0025556A" w:rsidRPr="0025556A" w:rsidRDefault="00581529" w:rsidP="0025556A">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sidRPr="00802A17">
        <w:rPr>
          <w:rFonts w:ascii="Arial" w:eastAsiaTheme="minorEastAsia" w:hAnsi="Arial" w:cs="Arial"/>
          <w:color w:val="323E48"/>
          <w:sz w:val="22"/>
          <w:szCs w:val="18"/>
          <w:lang w:val="en-US" w:bidi="hi-IN"/>
        </w:rPr>
        <w:t xml:space="preserve">The </w:t>
      </w:r>
      <w:r w:rsidRPr="00802A17">
        <w:rPr>
          <w:rFonts w:ascii="Arial" w:eastAsiaTheme="minorEastAsia" w:hAnsi="Arial" w:cs="Arial"/>
          <w:color w:val="323E48"/>
          <w:sz w:val="22"/>
          <w:szCs w:val="22"/>
          <w:lang w:val="en-US" w:bidi="hi-IN"/>
        </w:rPr>
        <w:t>Executive Director, Heritage Victoria is to be given five working days’ notice of the intention to commence the approved works.</w:t>
      </w:r>
    </w:p>
    <w:p w14:paraId="6299720D" w14:textId="68CF03D9" w:rsidR="00AD7FB2" w:rsidRPr="0025556A" w:rsidRDefault="00581529" w:rsidP="0025556A">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sidRPr="0025556A">
        <w:rPr>
          <w:rFonts w:ascii="Arial" w:eastAsiaTheme="minorEastAsia" w:hAnsi="Arial" w:cs="Arial"/>
          <w:color w:val="323E48"/>
          <w:sz w:val="22"/>
          <w:szCs w:val="18"/>
          <w:lang w:val="en-US" w:bidi="hi-IN"/>
        </w:rPr>
        <w:t>Approved works or activities are to be planned and carried out in a manner which prevents damage to the registered place. However, if other previously hidden original or inaccessible details of the place are uncovered, any works that may affect such items must immediately cease.</w:t>
      </w:r>
      <w:r w:rsidR="00836C91" w:rsidRPr="0025556A">
        <w:rPr>
          <w:rFonts w:ascii="Arial" w:eastAsiaTheme="minorEastAsia" w:hAnsi="Arial" w:cs="Arial"/>
          <w:color w:val="323E48"/>
          <w:sz w:val="22"/>
          <w:szCs w:val="18"/>
          <w:lang w:val="en-US" w:bidi="hi-IN"/>
        </w:rPr>
        <w:t xml:space="preserve"> The Executive Director, Heritage Victoria must be notified of the details immediately to enable Heritage Victoria representatives to inspect and record the items, and for discussion to take place on the possible retention of the items, for the issue of a modified approval.</w:t>
      </w:r>
    </w:p>
    <w:p w14:paraId="4C697564" w14:textId="7258953B" w:rsidR="0025556A" w:rsidRDefault="0025556A" w:rsidP="0025556A">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All works must </w:t>
      </w:r>
      <w:proofErr w:type="gramStart"/>
      <w:r>
        <w:rPr>
          <w:rFonts w:ascii="Arial" w:eastAsiaTheme="minorEastAsia" w:hAnsi="Arial" w:cs="Arial"/>
          <w:color w:val="323E48"/>
          <w:sz w:val="22"/>
          <w:szCs w:val="18"/>
          <w:lang w:val="en-US" w:bidi="hi-IN"/>
        </w:rPr>
        <w:t>cease</w:t>
      </w:r>
      <w:proofErr w:type="gramEnd"/>
      <w:r>
        <w:rPr>
          <w:rFonts w:ascii="Arial" w:eastAsiaTheme="minorEastAsia" w:hAnsi="Arial" w:cs="Arial"/>
          <w:color w:val="323E48"/>
          <w:sz w:val="22"/>
          <w:szCs w:val="18"/>
          <w:lang w:val="en-US" w:bidi="hi-IN"/>
        </w:rPr>
        <w:t xml:space="preserve"> and Heritage Victoria must be contacted if historical archaeological artefacts or deposits are discovered during any excavation or subsurface works. Should any munitions or other potentially explosive artefacts be discovered, Victoria Police is to be immediately alerted and the site is to be immediately cleared of all personnel.</w:t>
      </w:r>
    </w:p>
    <w:p w14:paraId="4B61DC2A" w14:textId="14D89BC1" w:rsidR="0025556A" w:rsidRPr="0024029F" w:rsidRDefault="0025556A" w:rsidP="0025556A">
      <w:pPr>
        <w:pStyle w:val="ListParagraph"/>
        <w:numPr>
          <w:ilvl w:val="2"/>
          <w:numId w:val="47"/>
        </w:numPr>
        <w:tabs>
          <w:tab w:val="left" w:pos="1276"/>
        </w:tabs>
        <w:spacing w:after="120"/>
        <w:ind w:left="357" w:right="777" w:hanging="357"/>
        <w:contextualSpacing w:val="0"/>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The Executive Director, Heritage Victoria must be informed when the approved works have been completed </w:t>
      </w:r>
      <w:proofErr w:type="gramStart"/>
      <w:r>
        <w:rPr>
          <w:rFonts w:ascii="Arial" w:eastAsiaTheme="minorEastAsia" w:hAnsi="Arial" w:cs="Arial"/>
          <w:color w:val="323E48"/>
          <w:sz w:val="22"/>
          <w:szCs w:val="18"/>
          <w:lang w:val="en-US" w:bidi="hi-IN"/>
        </w:rPr>
        <w:t>in order to</w:t>
      </w:r>
      <w:proofErr w:type="gramEnd"/>
      <w:r>
        <w:rPr>
          <w:rFonts w:ascii="Arial" w:eastAsiaTheme="minorEastAsia" w:hAnsi="Arial" w:cs="Arial"/>
          <w:color w:val="323E48"/>
          <w:sz w:val="22"/>
          <w:szCs w:val="18"/>
          <w:lang w:val="en-US" w:bidi="hi-IN"/>
        </w:rPr>
        <w:t xml:space="preserve"> arrange for a final inspection to be carried out.</w:t>
      </w:r>
    </w:p>
    <w:sectPr w:rsidR="0025556A" w:rsidRPr="0024029F" w:rsidSect="00C0640D">
      <w:pgSz w:w="11907" w:h="16840" w:code="9"/>
      <w:pgMar w:top="1702"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B9B0" w14:textId="77777777" w:rsidR="00F941C1" w:rsidRDefault="00F941C1">
      <w:r>
        <w:separator/>
      </w:r>
    </w:p>
  </w:endnote>
  <w:endnote w:type="continuationSeparator" w:id="0">
    <w:p w14:paraId="4D822612" w14:textId="77777777" w:rsidR="00F941C1" w:rsidRDefault="00F9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p w14:paraId="0F14A553" w14:textId="5CCD29B0" w:rsidR="00F941C1" w:rsidRPr="009E269F" w:rsidRDefault="00F941C1">
        <w:pPr>
          <w:pStyle w:val="Footer"/>
          <w:jc w:val="right"/>
          <w:rPr>
            <w:rFonts w:ascii="Arial" w:hAnsi="Arial" w:cs="Arial"/>
            <w:sz w:val="18"/>
          </w:rPr>
        </w:pPr>
        <w:r w:rsidRPr="009E269F">
          <w:rPr>
            <w:rFonts w:ascii="Arial" w:hAnsi="Arial" w:cs="Arial"/>
            <w:sz w:val="18"/>
          </w:rPr>
          <w:fldChar w:fldCharType="begin"/>
        </w:r>
        <w:r w:rsidRPr="009E269F">
          <w:rPr>
            <w:rFonts w:ascii="Arial" w:hAnsi="Arial" w:cs="Arial"/>
            <w:sz w:val="18"/>
          </w:rPr>
          <w:instrText xml:space="preserve"> PAGE   \* MERGEFORMAT </w:instrText>
        </w:r>
        <w:r w:rsidRPr="009E269F">
          <w:rPr>
            <w:rFonts w:ascii="Arial" w:hAnsi="Arial" w:cs="Arial"/>
            <w:sz w:val="18"/>
          </w:rPr>
          <w:fldChar w:fldCharType="separate"/>
        </w:r>
        <w:r>
          <w:rPr>
            <w:rFonts w:ascii="Arial" w:hAnsi="Arial" w:cs="Arial"/>
            <w:noProof/>
            <w:sz w:val="18"/>
          </w:rPr>
          <w:t>20</w:t>
        </w:r>
        <w:r w:rsidRPr="009E269F">
          <w:rPr>
            <w:rFonts w:ascii="Arial" w:hAnsi="Arial" w:cs="Arial"/>
            <w:noProof/>
            <w:sz w:val="18"/>
          </w:rPr>
          <w:fldChar w:fldCharType="end"/>
        </w:r>
      </w:p>
    </w:sdtContent>
  </w:sdt>
  <w:p w14:paraId="7FE83D10" w14:textId="6D03FFA7" w:rsidR="00F941C1" w:rsidRPr="00223A70" w:rsidRDefault="00F941C1" w:rsidP="00F279D5">
    <w:pPr>
      <w:pStyle w:val="Footer"/>
      <w:rPr>
        <w:rFonts w:ascii="Arial" w:hAnsi="Arial" w:cs="Arial"/>
        <w:sz w:val="18"/>
      </w:rPr>
    </w:pPr>
    <w:r>
      <w:rPr>
        <w:rStyle w:val="PageNumber"/>
        <w:rFonts w:ascii="Arial" w:hAnsi="Arial" w:cs="Arial"/>
        <w:sz w:val="18"/>
      </w:rPr>
      <w:t>28 June</w:t>
    </w:r>
    <w:r w:rsidRPr="00E342EC">
      <w:rPr>
        <w:rStyle w:val="PageNumber"/>
        <w:rFonts w:ascii="Arial" w:hAnsi="Arial" w:cs="Arial"/>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46B73625" w:rsidR="00F941C1" w:rsidRPr="009471FB" w:rsidRDefault="00F941C1">
        <w:pPr>
          <w:pStyle w:val="Footer"/>
          <w:jc w:val="right"/>
          <w:rPr>
            <w:rFonts w:ascii="Arial" w:hAnsi="Arial" w:cs="Arial"/>
            <w:sz w:val="18"/>
          </w:rPr>
        </w:pPr>
        <w:r w:rsidRPr="009471FB">
          <w:rPr>
            <w:rFonts w:ascii="Arial" w:hAnsi="Arial" w:cs="Arial"/>
            <w:sz w:val="18"/>
          </w:rPr>
          <w:fldChar w:fldCharType="begin"/>
        </w:r>
        <w:r w:rsidRPr="009471FB">
          <w:rPr>
            <w:rFonts w:ascii="Arial" w:hAnsi="Arial" w:cs="Arial"/>
            <w:sz w:val="18"/>
          </w:rPr>
          <w:instrText xml:space="preserve"> PAGE   \* MERGEFORMAT </w:instrText>
        </w:r>
        <w:r w:rsidRPr="009471FB">
          <w:rPr>
            <w:rFonts w:ascii="Arial" w:hAnsi="Arial" w:cs="Arial"/>
            <w:sz w:val="18"/>
          </w:rPr>
          <w:fldChar w:fldCharType="separate"/>
        </w:r>
        <w:r>
          <w:rPr>
            <w:rFonts w:ascii="Arial" w:hAnsi="Arial" w:cs="Arial"/>
            <w:noProof/>
            <w:sz w:val="18"/>
          </w:rPr>
          <w:t>23</w:t>
        </w:r>
        <w:r w:rsidRPr="009471FB">
          <w:rPr>
            <w:rFonts w:ascii="Arial" w:hAnsi="Arial" w:cs="Arial"/>
            <w:noProof/>
            <w:sz w:val="18"/>
          </w:rPr>
          <w:fldChar w:fldCharType="end"/>
        </w:r>
      </w:p>
    </w:sdtContent>
  </w:sdt>
  <w:p w14:paraId="3E578E22" w14:textId="3FFB7F9E" w:rsidR="00F941C1" w:rsidRPr="00E342EC" w:rsidRDefault="00F941C1" w:rsidP="00F279D5">
    <w:pPr>
      <w:pStyle w:val="Footer"/>
      <w:rPr>
        <w:rFonts w:ascii="Arial" w:hAnsi="Arial" w:cs="Arial"/>
        <w:sz w:val="18"/>
      </w:rPr>
    </w:pPr>
    <w:r>
      <w:rPr>
        <w:rStyle w:val="PageNumber"/>
        <w:rFonts w:ascii="Arial" w:hAnsi="Arial" w:cs="Arial"/>
        <w:sz w:val="18"/>
      </w:rPr>
      <w:t>28 June</w:t>
    </w:r>
    <w:r w:rsidRPr="00E342EC">
      <w:rPr>
        <w:rStyle w:val="PageNumbe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555679D7" w:rsidR="00F941C1" w:rsidRPr="00E342EC" w:rsidRDefault="00F941C1" w:rsidP="00E342EC">
    <w:pPr>
      <w:pStyle w:val="Footer"/>
      <w:rPr>
        <w:rFonts w:ascii="Arial" w:hAnsi="Arial" w:cs="Arial"/>
        <w:sz w:val="18"/>
      </w:rPr>
    </w:pPr>
    <w:r>
      <w:rPr>
        <w:rStyle w:val="PageNumber"/>
        <w:rFonts w:ascii="Arial" w:hAnsi="Arial" w:cs="Arial"/>
        <w:sz w:val="18"/>
      </w:rPr>
      <w:t>28 June</w:t>
    </w:r>
    <w:r w:rsidRPr="00E342EC">
      <w:rPr>
        <w:rStyle w:val="PageNumbe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9A75" w14:textId="77777777" w:rsidR="00F941C1" w:rsidRDefault="00F941C1">
      <w:r>
        <w:separator/>
      </w:r>
    </w:p>
  </w:footnote>
  <w:footnote w:type="continuationSeparator" w:id="0">
    <w:p w14:paraId="7D124A8D" w14:textId="77777777" w:rsidR="00F941C1" w:rsidRDefault="00F941C1">
      <w:r>
        <w:continuationSeparator/>
      </w:r>
    </w:p>
  </w:footnote>
  <w:footnote w:id="1">
    <w:p w14:paraId="045188F1" w14:textId="3BE078E5" w:rsidR="00F941C1" w:rsidRPr="00DD548D" w:rsidRDefault="00F941C1">
      <w:pPr>
        <w:pStyle w:val="FootnoteText"/>
        <w:rPr>
          <w:rFonts w:ascii="Arial" w:eastAsiaTheme="minorEastAsia" w:hAnsi="Arial" w:cs="Arial"/>
          <w:color w:val="323E48"/>
          <w:lang w:val="en-US" w:bidi="hi-IN"/>
        </w:rPr>
      </w:pPr>
      <w:r w:rsidRPr="00DD548D">
        <w:rPr>
          <w:rFonts w:ascii="Arial" w:eastAsiaTheme="minorEastAsia" w:hAnsi="Arial" w:cs="Arial"/>
          <w:color w:val="323E48"/>
          <w:vertAlign w:val="superscript"/>
          <w:lang w:val="en-US" w:bidi="hi-IN"/>
        </w:rPr>
        <w:footnoteRef/>
      </w:r>
      <w:r w:rsidRPr="00DD548D">
        <w:rPr>
          <w:rFonts w:ascii="Arial" w:eastAsiaTheme="minorEastAsia" w:hAnsi="Arial" w:cs="Arial"/>
          <w:color w:val="323E48"/>
          <w:lang w:val="en-US" w:bidi="hi-IN"/>
        </w:rPr>
        <w:t xml:space="preserve"> Statement of Evidence of </w:t>
      </w:r>
      <w:proofErr w:type="spellStart"/>
      <w:r>
        <w:rPr>
          <w:rFonts w:ascii="Arial" w:eastAsiaTheme="minorEastAsia" w:hAnsi="Arial" w:cs="Arial"/>
          <w:color w:val="323E48"/>
          <w:lang w:val="en-US" w:bidi="hi-IN"/>
        </w:rPr>
        <w:t>Mr</w:t>
      </w:r>
      <w:proofErr w:type="spellEnd"/>
      <w:r>
        <w:rPr>
          <w:rFonts w:ascii="Arial" w:eastAsiaTheme="minorEastAsia" w:hAnsi="Arial" w:cs="Arial"/>
          <w:color w:val="323E48"/>
          <w:lang w:val="en-US" w:bidi="hi-IN"/>
        </w:rPr>
        <w:t xml:space="preserve"> </w:t>
      </w:r>
      <w:r w:rsidRPr="00DD548D">
        <w:rPr>
          <w:rFonts w:ascii="Arial" w:eastAsiaTheme="minorEastAsia" w:hAnsi="Arial" w:cs="Arial"/>
          <w:color w:val="323E48"/>
          <w:lang w:val="en-US" w:bidi="hi-IN"/>
        </w:rPr>
        <w:t xml:space="preserve">Bryce </w:t>
      </w:r>
      <w:proofErr w:type="spellStart"/>
      <w:r w:rsidRPr="00DD548D">
        <w:rPr>
          <w:rFonts w:ascii="Arial" w:eastAsiaTheme="minorEastAsia" w:hAnsi="Arial" w:cs="Arial"/>
          <w:color w:val="323E48"/>
          <w:lang w:val="en-US" w:bidi="hi-IN"/>
        </w:rPr>
        <w:t>Raworth</w:t>
      </w:r>
      <w:proofErr w:type="spellEnd"/>
      <w:r>
        <w:rPr>
          <w:rFonts w:ascii="Arial" w:eastAsiaTheme="minorEastAsia" w:hAnsi="Arial" w:cs="Arial"/>
          <w:color w:val="323E48"/>
          <w:lang w:val="en-US" w:bidi="hi-IN"/>
        </w:rPr>
        <w:t>, dated 4 April 2019,</w:t>
      </w:r>
      <w:r w:rsidRPr="00DD548D">
        <w:rPr>
          <w:rFonts w:ascii="Arial" w:eastAsiaTheme="minorEastAsia" w:hAnsi="Arial" w:cs="Arial"/>
          <w:color w:val="323E48"/>
          <w:lang w:val="en-US" w:bidi="hi-IN"/>
        </w:rPr>
        <w:t xml:space="preserve"> p 22.</w:t>
      </w:r>
    </w:p>
  </w:footnote>
  <w:footnote w:id="2">
    <w:p w14:paraId="3D549674" w14:textId="61E6A220" w:rsidR="00F941C1" w:rsidRPr="0056363B" w:rsidRDefault="00F941C1">
      <w:pPr>
        <w:pStyle w:val="FootnoteText"/>
        <w:rPr>
          <w:rFonts w:ascii="Arial" w:hAnsi="Arial" w:cs="Arial"/>
        </w:rPr>
      </w:pPr>
      <w:r w:rsidRPr="00E0491A">
        <w:rPr>
          <w:rFonts w:ascii="Arial" w:eastAsiaTheme="minorEastAsia" w:hAnsi="Arial" w:cs="Arial"/>
          <w:color w:val="323E48"/>
          <w:vertAlign w:val="superscript"/>
          <w:lang w:val="en-US" w:bidi="hi-IN"/>
        </w:rPr>
        <w:footnoteRef/>
      </w:r>
      <w:r w:rsidRPr="0056363B">
        <w:rPr>
          <w:rFonts w:ascii="Arial" w:hAnsi="Arial" w:cs="Arial"/>
        </w:rPr>
        <w:t xml:space="preserve"> </w:t>
      </w:r>
      <w:r w:rsidRPr="00E0491A">
        <w:rPr>
          <w:rFonts w:ascii="Arial" w:eastAsiaTheme="minorEastAsia" w:hAnsi="Arial" w:cs="Arial"/>
          <w:color w:val="323E48"/>
          <w:lang w:val="en-US" w:bidi="hi-IN"/>
        </w:rPr>
        <w:t>T</w:t>
      </w:r>
      <w:r w:rsidRPr="006D094F">
        <w:rPr>
          <w:rFonts w:ascii="Arial" w:eastAsiaTheme="minorEastAsia" w:hAnsi="Arial" w:cs="Arial"/>
          <w:color w:val="323E48"/>
          <w:lang w:val="en-US" w:bidi="hi-IN"/>
        </w:rPr>
        <w:t>he extent of registration is described in the Register as ‘No. 149. Building, 11 Brunswick</w:t>
      </w:r>
      <w:r>
        <w:rPr>
          <w:rFonts w:ascii="Arial" w:eastAsiaTheme="minorEastAsia" w:hAnsi="Arial" w:cs="Arial"/>
          <w:color w:val="323E48"/>
          <w:lang w:val="en-US" w:bidi="hi-IN"/>
        </w:rPr>
        <w:t xml:space="preserve"> Street, Fitzroy’.</w:t>
      </w:r>
    </w:p>
  </w:footnote>
  <w:footnote w:id="3">
    <w:p w14:paraId="69B8F899" w14:textId="524D3EEF" w:rsidR="00F941C1" w:rsidRPr="00E0491A" w:rsidRDefault="00F941C1">
      <w:pPr>
        <w:pStyle w:val="FootnoteText"/>
        <w:rPr>
          <w:rFonts w:ascii="Arial" w:eastAsiaTheme="minorEastAsia" w:hAnsi="Arial" w:cs="Arial"/>
          <w:color w:val="323E48"/>
          <w:lang w:val="en-US" w:bidi="hi-IN"/>
        </w:rPr>
      </w:pPr>
      <w:r w:rsidRPr="00E0491A">
        <w:rPr>
          <w:rFonts w:ascii="Arial" w:eastAsiaTheme="minorEastAsia" w:hAnsi="Arial" w:cs="Arial"/>
          <w:color w:val="323E48"/>
          <w:vertAlign w:val="superscript"/>
          <w:lang w:val="en-US" w:bidi="hi-IN"/>
        </w:rPr>
        <w:footnoteRef/>
      </w:r>
      <w:r>
        <w:t xml:space="preserve"> </w:t>
      </w:r>
      <w:r w:rsidRPr="00216D26">
        <w:rPr>
          <w:rFonts w:ascii="Arial" w:eastAsiaTheme="minorEastAsia" w:hAnsi="Arial" w:cs="Arial"/>
          <w:color w:val="323E48"/>
          <w:lang w:val="en-US" w:bidi="hi-IN"/>
        </w:rPr>
        <w:t xml:space="preserve">Expert Witness Statement of </w:t>
      </w:r>
      <w:proofErr w:type="spellStart"/>
      <w:r w:rsidRPr="00216D26">
        <w:rPr>
          <w:rFonts w:ascii="Arial" w:eastAsiaTheme="minorEastAsia" w:hAnsi="Arial" w:cs="Arial"/>
          <w:color w:val="323E48"/>
          <w:lang w:val="en-US" w:bidi="hi-IN"/>
        </w:rPr>
        <w:t>Mr</w:t>
      </w:r>
      <w:proofErr w:type="spellEnd"/>
      <w:r w:rsidRPr="00216D26">
        <w:rPr>
          <w:rFonts w:ascii="Arial" w:eastAsiaTheme="minorEastAsia" w:hAnsi="Arial" w:cs="Arial"/>
          <w:color w:val="323E48"/>
          <w:lang w:val="en-US" w:bidi="hi-IN"/>
        </w:rPr>
        <w:t xml:space="preserve"> Bryce </w:t>
      </w:r>
      <w:proofErr w:type="spellStart"/>
      <w:r w:rsidRPr="00E0491A">
        <w:rPr>
          <w:rFonts w:ascii="Arial" w:eastAsiaTheme="minorEastAsia" w:hAnsi="Arial" w:cs="Arial"/>
          <w:color w:val="323E48"/>
          <w:lang w:val="en-US" w:bidi="hi-IN"/>
        </w:rPr>
        <w:t>Raworth</w:t>
      </w:r>
      <w:proofErr w:type="spellEnd"/>
      <w:r>
        <w:rPr>
          <w:rFonts w:ascii="Arial" w:eastAsiaTheme="minorEastAsia" w:hAnsi="Arial" w:cs="Arial"/>
          <w:color w:val="323E48"/>
          <w:lang w:val="en-US" w:bidi="hi-IN"/>
        </w:rPr>
        <w:t>, dated 4 April 2019,</w:t>
      </w:r>
      <w:r w:rsidRPr="00E0491A">
        <w:rPr>
          <w:rFonts w:ascii="Arial" w:eastAsiaTheme="minorEastAsia" w:hAnsi="Arial" w:cs="Arial"/>
          <w:color w:val="323E48"/>
          <w:lang w:val="en-US" w:bidi="hi-IN"/>
        </w:rPr>
        <w:t xml:space="preserve"> p 26.</w:t>
      </w:r>
    </w:p>
  </w:footnote>
  <w:footnote w:id="4">
    <w:p w14:paraId="2C66302D" w14:textId="44CF1D50" w:rsidR="00F941C1" w:rsidRPr="0065667C" w:rsidRDefault="00F941C1">
      <w:pPr>
        <w:pStyle w:val="FootnoteText"/>
        <w:rPr>
          <w:rFonts w:ascii="Arial" w:eastAsiaTheme="minorEastAsia" w:hAnsi="Arial" w:cs="Arial"/>
          <w:color w:val="323E48"/>
          <w:lang w:val="en-US" w:bidi="hi-IN"/>
        </w:rPr>
      </w:pPr>
      <w:r w:rsidRPr="0065667C">
        <w:rPr>
          <w:rFonts w:ascii="Arial" w:eastAsiaTheme="minorEastAsia" w:hAnsi="Arial" w:cs="Arial"/>
          <w:color w:val="323E48"/>
          <w:vertAlign w:val="superscript"/>
          <w:lang w:val="en-US" w:bidi="hi-IN"/>
        </w:rPr>
        <w:footnoteRef/>
      </w:r>
      <w:r w:rsidRPr="0065667C">
        <w:rPr>
          <w:rFonts w:ascii="Arial" w:eastAsiaTheme="minorEastAsia" w:hAnsi="Arial" w:cs="Arial"/>
          <w:color w:val="323E48"/>
          <w:vertAlign w:val="superscript"/>
          <w:lang w:val="en-US" w:bidi="hi-IN"/>
        </w:rPr>
        <w:t xml:space="preserve"> </w:t>
      </w:r>
      <w:r w:rsidRPr="0065667C">
        <w:rPr>
          <w:rFonts w:ascii="Arial" w:eastAsiaTheme="minorEastAsia" w:hAnsi="Arial" w:cs="Arial"/>
          <w:i/>
          <w:color w:val="323E48"/>
          <w:lang w:val="en-US" w:bidi="hi-IN"/>
        </w:rPr>
        <w:t>Victoria Government Gazette</w:t>
      </w:r>
      <w:r w:rsidRPr="0065667C">
        <w:rPr>
          <w:rFonts w:ascii="Arial" w:eastAsiaTheme="minorEastAsia" w:hAnsi="Arial" w:cs="Arial"/>
          <w:color w:val="323E48"/>
          <w:lang w:val="en-US" w:bidi="hi-IN"/>
        </w:rPr>
        <w:t xml:space="preserve"> No. 100 (9 October 1974) p 3648.</w:t>
      </w:r>
    </w:p>
  </w:footnote>
  <w:footnote w:id="5">
    <w:p w14:paraId="30E0ACDB" w14:textId="30BC5E73" w:rsidR="00F941C1" w:rsidRPr="00D20A8F" w:rsidRDefault="00F941C1">
      <w:pPr>
        <w:pStyle w:val="FootnoteText"/>
        <w:rPr>
          <w:rFonts w:ascii="Arial" w:eastAsiaTheme="minorEastAsia" w:hAnsi="Arial" w:cs="Arial"/>
          <w:color w:val="323E48"/>
          <w:lang w:val="en-US" w:bidi="hi-IN"/>
        </w:rPr>
      </w:pPr>
      <w:r w:rsidRPr="00D20A8F">
        <w:rPr>
          <w:rFonts w:ascii="Arial" w:eastAsiaTheme="minorEastAsia" w:hAnsi="Arial" w:cs="Arial"/>
          <w:color w:val="323E48"/>
          <w:vertAlign w:val="superscript"/>
          <w:lang w:val="en-US" w:bidi="hi-IN"/>
        </w:rPr>
        <w:footnoteRef/>
      </w:r>
      <w:r>
        <w:t xml:space="preserve"> </w:t>
      </w:r>
      <w:r w:rsidRPr="00D20A8F">
        <w:rPr>
          <w:rFonts w:ascii="Arial" w:eastAsiaTheme="minorEastAsia" w:hAnsi="Arial" w:cs="Arial"/>
          <w:color w:val="323E48"/>
          <w:lang w:val="en-US" w:bidi="hi-IN"/>
        </w:rPr>
        <w:t>2017 Act s 101(3)(a).</w:t>
      </w:r>
    </w:p>
  </w:footnote>
  <w:footnote w:id="6">
    <w:p w14:paraId="00F540F1" w14:textId="7A08BEA1" w:rsidR="00F941C1" w:rsidRPr="009A021E" w:rsidRDefault="00F941C1">
      <w:pPr>
        <w:pStyle w:val="FootnoteText"/>
        <w:rPr>
          <w:rFonts w:ascii="Arial" w:eastAsiaTheme="minorEastAsia" w:hAnsi="Arial" w:cs="Arial"/>
          <w:color w:val="323E48"/>
          <w:lang w:val="en-US" w:bidi="hi-IN"/>
        </w:rPr>
      </w:pPr>
      <w:r w:rsidRPr="009A021E">
        <w:rPr>
          <w:rFonts w:ascii="Arial" w:eastAsiaTheme="minorEastAsia" w:hAnsi="Arial" w:cs="Arial"/>
          <w:color w:val="323E48"/>
          <w:vertAlign w:val="superscript"/>
          <w:lang w:val="en-US" w:bidi="hi-IN"/>
        </w:rPr>
        <w:footnoteRef/>
      </w:r>
      <w:r w:rsidRPr="009A021E">
        <w:rPr>
          <w:rFonts w:ascii="Arial" w:eastAsiaTheme="minorEastAsia" w:hAnsi="Arial" w:cs="Arial"/>
          <w:color w:val="323E48"/>
          <w:vertAlign w:val="superscript"/>
          <w:lang w:val="en-US" w:bidi="hi-IN"/>
        </w:rPr>
        <w:t xml:space="preserve"> </w:t>
      </w:r>
      <w:r w:rsidRPr="009A021E">
        <w:rPr>
          <w:rFonts w:ascii="Arial" w:eastAsiaTheme="minorEastAsia" w:hAnsi="Arial" w:cs="Arial"/>
          <w:color w:val="323E48"/>
          <w:lang w:val="en-US" w:bidi="hi-IN"/>
        </w:rPr>
        <w:t xml:space="preserve">The definition of ‘place’ in section 3 of the 1995 Act and section 3 of the 2017 Act both state that a place includes “a building” and “land associated with </w:t>
      </w:r>
      <w:proofErr w:type="spellStart"/>
      <w:r w:rsidRPr="009A021E">
        <w:rPr>
          <w:rFonts w:ascii="Arial" w:eastAsiaTheme="minorEastAsia" w:hAnsi="Arial" w:cs="Arial"/>
          <w:color w:val="323E48"/>
          <w:lang w:val="en-US" w:bidi="hi-IN"/>
        </w:rPr>
        <w:t>any thing</w:t>
      </w:r>
      <w:proofErr w:type="spellEnd"/>
      <w:r w:rsidRPr="009A021E">
        <w:rPr>
          <w:rFonts w:ascii="Arial" w:eastAsiaTheme="minorEastAsia" w:hAnsi="Arial" w:cs="Arial"/>
          <w:color w:val="323E48"/>
          <w:lang w:val="en-US" w:bidi="hi-IN"/>
        </w:rPr>
        <w:t xml:space="preserve"> specified [in the definition of place]”.</w:t>
      </w:r>
    </w:p>
  </w:footnote>
  <w:footnote w:id="7">
    <w:p w14:paraId="341628DE" w14:textId="5D0C95AD" w:rsidR="00F941C1" w:rsidRPr="00F37284" w:rsidRDefault="00F941C1">
      <w:pPr>
        <w:pStyle w:val="FootnoteText"/>
        <w:rPr>
          <w:rFonts w:ascii="Arial" w:eastAsiaTheme="minorEastAsia" w:hAnsi="Arial" w:cs="Arial"/>
          <w:color w:val="323E48"/>
          <w:lang w:val="en-US" w:bidi="hi-IN"/>
        </w:rPr>
      </w:pPr>
      <w:r w:rsidRPr="00F37284">
        <w:rPr>
          <w:rFonts w:ascii="Arial" w:eastAsiaTheme="minorEastAsia" w:hAnsi="Arial" w:cs="Arial"/>
          <w:color w:val="323E48"/>
          <w:vertAlign w:val="superscript"/>
          <w:lang w:val="en-US" w:bidi="hi-IN"/>
        </w:rPr>
        <w:footnoteRef/>
      </w:r>
      <w:r w:rsidRPr="00F37284">
        <w:rPr>
          <w:vertAlign w:val="superscript"/>
        </w:rPr>
        <w:t xml:space="preserve"> </w:t>
      </w:r>
      <w:r w:rsidRPr="00F37284">
        <w:rPr>
          <w:rFonts w:ascii="Arial" w:eastAsiaTheme="minorEastAsia" w:hAnsi="Arial" w:cs="Arial"/>
          <w:color w:val="323E48"/>
          <w:lang w:val="en-US" w:bidi="hi-IN"/>
        </w:rPr>
        <w:t xml:space="preserve">‘Report and </w:t>
      </w:r>
      <w:r>
        <w:rPr>
          <w:rFonts w:ascii="Arial" w:eastAsiaTheme="minorEastAsia" w:hAnsi="Arial" w:cs="Arial"/>
          <w:color w:val="323E48"/>
          <w:lang w:val="en-US" w:bidi="hi-IN"/>
        </w:rPr>
        <w:t xml:space="preserve">Recommendation to Executive Director on Application for a Permit’, prepared by </w:t>
      </w:r>
      <w:proofErr w:type="spellStart"/>
      <w:r>
        <w:rPr>
          <w:rFonts w:ascii="Arial" w:eastAsiaTheme="minorEastAsia" w:hAnsi="Arial" w:cs="Arial"/>
          <w:color w:val="323E48"/>
          <w:lang w:val="en-US" w:bidi="hi-IN"/>
        </w:rPr>
        <w:t>Mr</w:t>
      </w:r>
      <w:proofErr w:type="spellEnd"/>
      <w:r>
        <w:rPr>
          <w:rFonts w:ascii="Arial" w:eastAsiaTheme="minorEastAsia" w:hAnsi="Arial" w:cs="Arial"/>
          <w:color w:val="323E48"/>
          <w:lang w:val="en-US" w:bidi="hi-IN"/>
        </w:rPr>
        <w:t xml:space="preserve"> Peter Brooks of Heritage Victoria, dated 11 October 2018, p 5.</w:t>
      </w:r>
    </w:p>
  </w:footnote>
  <w:footnote w:id="8">
    <w:p w14:paraId="3BC9E468" w14:textId="27964523" w:rsidR="00F941C1" w:rsidRPr="00773B04" w:rsidRDefault="00F941C1">
      <w:pPr>
        <w:pStyle w:val="FootnoteText"/>
        <w:rPr>
          <w:rFonts w:ascii="Arial" w:eastAsiaTheme="minorEastAsia" w:hAnsi="Arial" w:cs="Arial"/>
          <w:color w:val="323E48"/>
          <w:lang w:val="en-US" w:bidi="hi-IN"/>
        </w:rPr>
      </w:pPr>
      <w:r w:rsidRPr="00773B04">
        <w:rPr>
          <w:rFonts w:ascii="Arial" w:eastAsiaTheme="minorEastAsia" w:hAnsi="Arial" w:cs="Arial"/>
          <w:color w:val="323E48"/>
          <w:vertAlign w:val="superscript"/>
          <w:lang w:val="en-US" w:bidi="hi-IN"/>
        </w:rPr>
        <w:footnoteRef/>
      </w:r>
      <w:r w:rsidRPr="00773B04">
        <w:rPr>
          <w:rFonts w:ascii="Arial" w:eastAsiaTheme="minorEastAsia" w:hAnsi="Arial" w:cs="Arial"/>
          <w:color w:val="323E48"/>
          <w:lang w:val="en-US" w:bidi="hi-IN"/>
        </w:rPr>
        <w:t xml:space="preserve"> The North Elevation Architectural Plan prepared by Clarke Hopkins Clarke, dated 30 July 2018 (Drawing No. 16025/TP14) shows the apartment building having a maximum height of RL 69.98, compared to the height of the carpark which is RL 68.51.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F941C1" w:rsidRDefault="00F941C1">
    <w:pPr>
      <w:pStyle w:val="Header"/>
    </w:pPr>
    <w:r>
      <w:rPr>
        <w:noProof/>
        <w:lang w:eastAsia="en-AU"/>
      </w:rPr>
      <w:drawing>
        <wp:anchor distT="0" distB="0" distL="114300" distR="114300" simplePos="0" relativeHeight="251661824"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F941C1" w:rsidRDefault="00F941C1">
    <w:pPr>
      <w:pStyle w:val="Header"/>
    </w:pPr>
    <w:r>
      <w:rPr>
        <w:noProof/>
        <w:lang w:eastAsia="en-AU"/>
      </w:rPr>
      <w:drawing>
        <wp:anchor distT="0" distB="0" distL="114300" distR="114300" simplePos="0" relativeHeight="251659776" behindDoc="1" locked="0" layoutInCell="1" allowOverlap="1" wp14:anchorId="45B44BA0" wp14:editId="12ABD50B">
          <wp:simplePos x="0" y="0"/>
          <wp:positionH relativeFrom="column">
            <wp:posOffset>4690745</wp:posOffset>
          </wp:positionH>
          <wp:positionV relativeFrom="paragraph">
            <wp:posOffset>-75565</wp:posOffset>
          </wp:positionV>
          <wp:extent cx="1220162" cy="6917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F941C1" w:rsidRDefault="00F941C1">
    <w:pPr>
      <w:pStyle w:val="Header"/>
    </w:pPr>
    <w:r>
      <w:rPr>
        <w:noProof/>
        <w:lang w:eastAsia="en-AU"/>
      </w:rPr>
      <w:drawing>
        <wp:anchor distT="0" distB="0" distL="114300" distR="114300" simplePos="0" relativeHeight="251658752" behindDoc="1" locked="0" layoutInCell="1" allowOverlap="1" wp14:anchorId="649D3DF5" wp14:editId="7D79D32F">
          <wp:simplePos x="0" y="0"/>
          <wp:positionH relativeFrom="column">
            <wp:posOffset>5006340</wp:posOffset>
          </wp:positionH>
          <wp:positionV relativeFrom="paragraph">
            <wp:posOffset>-45720</wp:posOffset>
          </wp:positionV>
          <wp:extent cx="1181100" cy="66951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695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410"/>
    <w:multiLevelType w:val="hybridMultilevel"/>
    <w:tmpl w:val="81DC460A"/>
    <w:lvl w:ilvl="0" w:tplc="53B6CDB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4FD0FB9"/>
    <w:multiLevelType w:val="hybridMultilevel"/>
    <w:tmpl w:val="97C04916"/>
    <w:lvl w:ilvl="0" w:tplc="0C090017">
      <w:start w:val="1"/>
      <w:numFmt w:val="lowerLetter"/>
      <w:lvlText w:val="%1)"/>
      <w:lvlJc w:val="left"/>
      <w:pPr>
        <w:ind w:left="3752" w:hanging="360"/>
      </w:pPr>
    </w:lvl>
    <w:lvl w:ilvl="1" w:tplc="0C090019">
      <w:start w:val="1"/>
      <w:numFmt w:val="lowerLetter"/>
      <w:lvlText w:val="%2."/>
      <w:lvlJc w:val="left"/>
      <w:pPr>
        <w:ind w:left="4472" w:hanging="360"/>
      </w:pPr>
    </w:lvl>
    <w:lvl w:ilvl="2" w:tplc="0C09001B" w:tentative="1">
      <w:start w:val="1"/>
      <w:numFmt w:val="lowerRoman"/>
      <w:lvlText w:val="%3."/>
      <w:lvlJc w:val="right"/>
      <w:pPr>
        <w:ind w:left="5192" w:hanging="180"/>
      </w:pPr>
    </w:lvl>
    <w:lvl w:ilvl="3" w:tplc="0C09000F" w:tentative="1">
      <w:start w:val="1"/>
      <w:numFmt w:val="decimal"/>
      <w:lvlText w:val="%4."/>
      <w:lvlJc w:val="left"/>
      <w:pPr>
        <w:ind w:left="5912" w:hanging="360"/>
      </w:pPr>
    </w:lvl>
    <w:lvl w:ilvl="4" w:tplc="0C090019" w:tentative="1">
      <w:start w:val="1"/>
      <w:numFmt w:val="lowerLetter"/>
      <w:lvlText w:val="%5."/>
      <w:lvlJc w:val="left"/>
      <w:pPr>
        <w:ind w:left="6632" w:hanging="360"/>
      </w:pPr>
    </w:lvl>
    <w:lvl w:ilvl="5" w:tplc="0C09001B" w:tentative="1">
      <w:start w:val="1"/>
      <w:numFmt w:val="lowerRoman"/>
      <w:lvlText w:val="%6."/>
      <w:lvlJc w:val="right"/>
      <w:pPr>
        <w:ind w:left="7352" w:hanging="180"/>
      </w:pPr>
    </w:lvl>
    <w:lvl w:ilvl="6" w:tplc="0C09000F" w:tentative="1">
      <w:start w:val="1"/>
      <w:numFmt w:val="decimal"/>
      <w:lvlText w:val="%7."/>
      <w:lvlJc w:val="left"/>
      <w:pPr>
        <w:ind w:left="8072" w:hanging="360"/>
      </w:pPr>
    </w:lvl>
    <w:lvl w:ilvl="7" w:tplc="0C090019" w:tentative="1">
      <w:start w:val="1"/>
      <w:numFmt w:val="lowerLetter"/>
      <w:lvlText w:val="%8."/>
      <w:lvlJc w:val="left"/>
      <w:pPr>
        <w:ind w:left="8792" w:hanging="360"/>
      </w:pPr>
    </w:lvl>
    <w:lvl w:ilvl="8" w:tplc="0C09001B" w:tentative="1">
      <w:start w:val="1"/>
      <w:numFmt w:val="lowerRoman"/>
      <w:lvlText w:val="%9."/>
      <w:lvlJc w:val="right"/>
      <w:pPr>
        <w:ind w:left="9512" w:hanging="180"/>
      </w:pPr>
    </w:lvl>
  </w:abstractNum>
  <w:abstractNum w:abstractNumId="2" w15:restartNumberingAfterBreak="0">
    <w:nsid w:val="07D24681"/>
    <w:multiLevelType w:val="hybridMultilevel"/>
    <w:tmpl w:val="F30471A6"/>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7EC16C8"/>
    <w:multiLevelType w:val="hybridMultilevel"/>
    <w:tmpl w:val="CCAC9776"/>
    <w:lvl w:ilvl="0" w:tplc="1D80080E">
      <w:start w:val="1"/>
      <w:numFmt w:val="lowerLetter"/>
      <w:lvlText w:val="%1)"/>
      <w:lvlJc w:val="left"/>
      <w:pPr>
        <w:ind w:left="786" w:hanging="360"/>
      </w:pPr>
      <w:rPr>
        <w:rFonts w:ascii="Arial" w:eastAsiaTheme="minorEastAsia"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8BB260B"/>
    <w:multiLevelType w:val="hybridMultilevel"/>
    <w:tmpl w:val="5192E60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6024"/>
    <w:multiLevelType w:val="hybridMultilevel"/>
    <w:tmpl w:val="1362F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60F48"/>
    <w:multiLevelType w:val="hybridMultilevel"/>
    <w:tmpl w:val="FA787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E188F"/>
    <w:multiLevelType w:val="hybridMultilevel"/>
    <w:tmpl w:val="A080F6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CE13C6"/>
    <w:multiLevelType w:val="hybridMultilevel"/>
    <w:tmpl w:val="3B9E713E"/>
    <w:lvl w:ilvl="0" w:tplc="2162F770">
      <w:start w:val="1"/>
      <w:numFmt w:val="lowerLetter"/>
      <w:lvlText w:val="%1)"/>
      <w:lvlJc w:val="left"/>
      <w:pPr>
        <w:ind w:left="795" w:hanging="360"/>
      </w:pPr>
      <w:rPr>
        <w:rFont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15:restartNumberingAfterBreak="0">
    <w:nsid w:val="22097B11"/>
    <w:multiLevelType w:val="hybridMultilevel"/>
    <w:tmpl w:val="14E6433C"/>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2B07058"/>
    <w:multiLevelType w:val="hybridMultilevel"/>
    <w:tmpl w:val="20E66FDC"/>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63040B9"/>
    <w:multiLevelType w:val="hybridMultilevel"/>
    <w:tmpl w:val="BC7C7A56"/>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2AC171C5"/>
    <w:multiLevelType w:val="hybridMultilevel"/>
    <w:tmpl w:val="4694E81E"/>
    <w:lvl w:ilvl="0" w:tplc="E77AED6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EC8782F"/>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4" w15:restartNumberingAfterBreak="0">
    <w:nsid w:val="2ECB6057"/>
    <w:multiLevelType w:val="hybridMultilevel"/>
    <w:tmpl w:val="EBF824B0"/>
    <w:lvl w:ilvl="0" w:tplc="760ADED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7730244"/>
    <w:multiLevelType w:val="hybridMultilevel"/>
    <w:tmpl w:val="383849E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921E0"/>
    <w:multiLevelType w:val="hybridMultilevel"/>
    <w:tmpl w:val="91EC743C"/>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A853DA4"/>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8" w15:restartNumberingAfterBreak="0">
    <w:nsid w:val="3C9F70F4"/>
    <w:multiLevelType w:val="hybridMultilevel"/>
    <w:tmpl w:val="1082A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FD7EEA"/>
    <w:multiLevelType w:val="hybridMultilevel"/>
    <w:tmpl w:val="CF662762"/>
    <w:lvl w:ilvl="0" w:tplc="00923A7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4912089B"/>
    <w:multiLevelType w:val="hybridMultilevel"/>
    <w:tmpl w:val="A420EAE4"/>
    <w:lvl w:ilvl="0" w:tplc="5240F758">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1" w15:restartNumberingAfterBreak="0">
    <w:nsid w:val="4CB04091"/>
    <w:multiLevelType w:val="hybridMultilevel"/>
    <w:tmpl w:val="7D16570E"/>
    <w:lvl w:ilvl="0" w:tplc="0C090017">
      <w:start w:val="1"/>
      <w:numFmt w:val="lowerLetter"/>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2" w15:restartNumberingAfterBreak="0">
    <w:nsid w:val="4EBC4EC1"/>
    <w:multiLevelType w:val="hybridMultilevel"/>
    <w:tmpl w:val="F30471A6"/>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4F373A38"/>
    <w:multiLevelType w:val="hybridMultilevel"/>
    <w:tmpl w:val="FD90156E"/>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51CF3722"/>
    <w:multiLevelType w:val="hybridMultilevel"/>
    <w:tmpl w:val="B0B6CA76"/>
    <w:lvl w:ilvl="0" w:tplc="0C090017">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5" w15:restartNumberingAfterBreak="0">
    <w:nsid w:val="52B3557B"/>
    <w:multiLevelType w:val="hybridMultilevel"/>
    <w:tmpl w:val="64A0D5C4"/>
    <w:lvl w:ilvl="0" w:tplc="0C090017">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544473FA"/>
    <w:multiLevelType w:val="hybridMultilevel"/>
    <w:tmpl w:val="DBBC55A8"/>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55F0225A"/>
    <w:multiLevelType w:val="hybridMultilevel"/>
    <w:tmpl w:val="20E66FDC"/>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78C4FC0"/>
    <w:multiLevelType w:val="hybridMultilevel"/>
    <w:tmpl w:val="34F4CB2A"/>
    <w:lvl w:ilvl="0" w:tplc="0DAA8440">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9" w15:restartNumberingAfterBreak="0">
    <w:nsid w:val="57D01D4F"/>
    <w:multiLevelType w:val="hybridMultilevel"/>
    <w:tmpl w:val="022A4D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8E5CAF"/>
    <w:multiLevelType w:val="hybridMultilevel"/>
    <w:tmpl w:val="7780E424"/>
    <w:lvl w:ilvl="0" w:tplc="EE62C92E">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1"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32" w15:restartNumberingAfterBreak="0">
    <w:nsid w:val="5BF17912"/>
    <w:multiLevelType w:val="hybridMultilevel"/>
    <w:tmpl w:val="F0FC7AD0"/>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5C783517"/>
    <w:multiLevelType w:val="hybridMultilevel"/>
    <w:tmpl w:val="066C9BAA"/>
    <w:lvl w:ilvl="0" w:tplc="0C090017">
      <w:start w:val="1"/>
      <w:numFmt w:val="lowerLetter"/>
      <w:lvlText w:val="%1)"/>
      <w:lvlJc w:val="left"/>
      <w:pPr>
        <w:ind w:left="792" w:hanging="360"/>
      </w:pPr>
      <w:rPr>
        <w:rFonts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4" w15:restartNumberingAfterBreak="0">
    <w:nsid w:val="5E5644F1"/>
    <w:multiLevelType w:val="hybridMultilevel"/>
    <w:tmpl w:val="FE92EE5C"/>
    <w:lvl w:ilvl="0" w:tplc="0C090017">
      <w:start w:val="1"/>
      <w:numFmt w:val="decimal"/>
      <w:lvlText w:val="0%1."/>
      <w:lvlJc w:val="left"/>
      <w:pPr>
        <w:ind w:left="2771" w:hanging="360"/>
      </w:pPr>
      <w:rPr>
        <w:rFonts w:hint="default"/>
        <w:b/>
        <w:i w:val="0"/>
        <w:iCs/>
        <w:color w:val="A40016"/>
        <w:sz w:val="22"/>
        <w:szCs w:val="17"/>
      </w:rPr>
    </w:lvl>
    <w:lvl w:ilvl="1" w:tplc="0C090001">
      <w:start w:val="1"/>
      <w:numFmt w:val="bullet"/>
      <w:lvlText w:val=""/>
      <w:lvlJc w:val="left"/>
      <w:pPr>
        <w:ind w:left="2471" w:hanging="360"/>
      </w:pPr>
      <w:rPr>
        <w:rFonts w:ascii="Symbol" w:hAnsi="Symbol" w:hint="default"/>
      </w:rPr>
    </w:lvl>
    <w:lvl w:ilvl="2" w:tplc="04090005">
      <w:start w:val="1"/>
      <w:numFmt w:val="bullet"/>
      <w:lvlText w:val=""/>
      <w:lvlJc w:val="left"/>
      <w:pPr>
        <w:ind w:left="3191" w:hanging="360"/>
      </w:pPr>
      <w:rPr>
        <w:rFonts w:ascii="Wingdings" w:hAnsi="Wingdings" w:hint="default"/>
      </w:rPr>
    </w:lvl>
    <w:lvl w:ilvl="3" w:tplc="0409000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35" w15:restartNumberingAfterBreak="0">
    <w:nsid w:val="5EF4028F"/>
    <w:multiLevelType w:val="hybridMultilevel"/>
    <w:tmpl w:val="CF74356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1A6617"/>
    <w:multiLevelType w:val="hybridMultilevel"/>
    <w:tmpl w:val="A6F45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D763B3"/>
    <w:multiLevelType w:val="hybridMultilevel"/>
    <w:tmpl w:val="BA0AA87E"/>
    <w:lvl w:ilvl="0" w:tplc="F44ED5D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8" w15:restartNumberingAfterBreak="0">
    <w:nsid w:val="6753337F"/>
    <w:multiLevelType w:val="hybridMultilevel"/>
    <w:tmpl w:val="8DDE2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CB0E89"/>
    <w:multiLevelType w:val="hybridMultilevel"/>
    <w:tmpl w:val="CFDA720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15:restartNumberingAfterBreak="0">
    <w:nsid w:val="69DC6E66"/>
    <w:multiLevelType w:val="hybridMultilevel"/>
    <w:tmpl w:val="5D503A72"/>
    <w:lvl w:ilvl="0" w:tplc="0C090017">
      <w:start w:val="1"/>
      <w:numFmt w:val="lowerLetter"/>
      <w:lvlText w:val="%1)"/>
      <w:lvlJc w:val="left"/>
      <w:pPr>
        <w:ind w:left="1080" w:hanging="360"/>
      </w:pPr>
      <w:rPr>
        <w:rFonts w:hint="default"/>
        <w:i/>
      </w:rPr>
    </w:lvl>
    <w:lvl w:ilvl="1" w:tplc="0C090017">
      <w:start w:val="1"/>
      <w:numFmt w:val="lowerLetter"/>
      <w:lvlText w:val="%2)"/>
      <w:lvlJc w:val="left"/>
      <w:pPr>
        <w:ind w:left="1800" w:hanging="360"/>
      </w:pPr>
    </w:lvl>
    <w:lvl w:ilvl="2" w:tplc="C3AC195E">
      <w:start w:val="1"/>
      <w:numFmt w:val="decimal"/>
      <w:lvlText w:val="%3."/>
      <w:lvlJc w:val="left"/>
      <w:pPr>
        <w:ind w:left="2700" w:hanging="360"/>
      </w:pPr>
      <w:rPr>
        <w:rFonts w:hint="default"/>
      </w:rPr>
    </w:lvl>
    <w:lvl w:ilvl="3" w:tplc="AA645DD2">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BFF596B"/>
    <w:multiLevelType w:val="hybridMultilevel"/>
    <w:tmpl w:val="331E710E"/>
    <w:lvl w:ilvl="0" w:tplc="EE62C92E">
      <w:start w:val="1"/>
      <w:numFmt w:val="lowerLetter"/>
      <w:lvlText w:val="%1)"/>
      <w:lvlJc w:val="left"/>
      <w:pPr>
        <w:ind w:left="79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03692A"/>
    <w:multiLevelType w:val="hybridMultilevel"/>
    <w:tmpl w:val="B028A5B8"/>
    <w:lvl w:ilvl="0" w:tplc="11461B1A">
      <w:start w:val="1"/>
      <w:numFmt w:val="decimal"/>
      <w:lvlText w:val="%1"/>
      <w:lvlJc w:val="left"/>
      <w:pPr>
        <w:ind w:left="899" w:hanging="696"/>
      </w:pPr>
      <w:rPr>
        <w:rFonts w:hint="default"/>
      </w:rPr>
    </w:lvl>
    <w:lvl w:ilvl="1" w:tplc="0C090019">
      <w:start w:val="1"/>
      <w:numFmt w:val="lowerLetter"/>
      <w:lvlText w:val="%2."/>
      <w:lvlJc w:val="left"/>
      <w:pPr>
        <w:ind w:left="1283" w:hanging="360"/>
      </w:pPr>
    </w:lvl>
    <w:lvl w:ilvl="2" w:tplc="0C09001B">
      <w:start w:val="1"/>
      <w:numFmt w:val="lowerRoman"/>
      <w:lvlText w:val="%3."/>
      <w:lvlJc w:val="right"/>
      <w:pPr>
        <w:ind w:left="2003" w:hanging="180"/>
      </w:pPr>
    </w:lvl>
    <w:lvl w:ilvl="3" w:tplc="0C09000F">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43" w15:restartNumberingAfterBreak="0">
    <w:nsid w:val="6F956C54"/>
    <w:multiLevelType w:val="multilevel"/>
    <w:tmpl w:val="410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1026EC"/>
    <w:multiLevelType w:val="hybridMultilevel"/>
    <w:tmpl w:val="CFDA720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15:restartNumberingAfterBreak="0">
    <w:nsid w:val="791449AE"/>
    <w:multiLevelType w:val="hybridMultilevel"/>
    <w:tmpl w:val="A9F841D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6" w15:restartNumberingAfterBreak="0">
    <w:nsid w:val="7A4E4552"/>
    <w:multiLevelType w:val="hybridMultilevel"/>
    <w:tmpl w:val="CCAC9776"/>
    <w:lvl w:ilvl="0" w:tplc="1D80080E">
      <w:start w:val="1"/>
      <w:numFmt w:val="lowerLetter"/>
      <w:lvlText w:val="%1)"/>
      <w:lvlJc w:val="left"/>
      <w:pPr>
        <w:ind w:left="786" w:hanging="360"/>
      </w:pPr>
      <w:rPr>
        <w:rFonts w:ascii="Arial" w:eastAsiaTheme="minorEastAsia"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7" w15:restartNumberingAfterBreak="0">
    <w:nsid w:val="7EEB48F4"/>
    <w:multiLevelType w:val="hybridMultilevel"/>
    <w:tmpl w:val="3DD8F6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34"/>
  </w:num>
  <w:num w:numId="3">
    <w:abstractNumId w:val="34"/>
  </w:num>
  <w:num w:numId="4">
    <w:abstractNumId w:val="5"/>
  </w:num>
  <w:num w:numId="5">
    <w:abstractNumId w:val="4"/>
  </w:num>
  <w:num w:numId="6">
    <w:abstractNumId w:val="35"/>
  </w:num>
  <w:num w:numId="7">
    <w:abstractNumId w:val="15"/>
  </w:num>
  <w:num w:numId="8">
    <w:abstractNumId w:val="38"/>
  </w:num>
  <w:num w:numId="9">
    <w:abstractNumId w:val="2"/>
  </w:num>
  <w:num w:numId="10">
    <w:abstractNumId w:val="1"/>
  </w:num>
  <w:num w:numId="11">
    <w:abstractNumId w:val="24"/>
  </w:num>
  <w:num w:numId="12">
    <w:abstractNumId w:val="21"/>
  </w:num>
  <w:num w:numId="13">
    <w:abstractNumId w:val="22"/>
  </w:num>
  <w:num w:numId="14">
    <w:abstractNumId w:val="42"/>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num>
  <w:num w:numId="18">
    <w:abstractNumId w:val="7"/>
  </w:num>
  <w:num w:numId="19">
    <w:abstractNumId w:val="10"/>
  </w:num>
  <w:num w:numId="20">
    <w:abstractNumId w:val="44"/>
  </w:num>
  <w:num w:numId="21">
    <w:abstractNumId w:val="39"/>
  </w:num>
  <w:num w:numId="22">
    <w:abstractNumId w:val="8"/>
  </w:num>
  <w:num w:numId="23">
    <w:abstractNumId w:val="3"/>
  </w:num>
  <w:num w:numId="24">
    <w:abstractNumId w:val="29"/>
  </w:num>
  <w:num w:numId="25">
    <w:abstractNumId w:val="30"/>
  </w:num>
  <w:num w:numId="26">
    <w:abstractNumId w:val="47"/>
  </w:num>
  <w:num w:numId="27">
    <w:abstractNumId w:val="23"/>
  </w:num>
  <w:num w:numId="28">
    <w:abstractNumId w:val="46"/>
  </w:num>
  <w:num w:numId="29">
    <w:abstractNumId w:val="37"/>
  </w:num>
  <w:num w:numId="30">
    <w:abstractNumId w:val="28"/>
  </w:num>
  <w:num w:numId="31">
    <w:abstractNumId w:val="14"/>
  </w:num>
  <w:num w:numId="32">
    <w:abstractNumId w:val="25"/>
  </w:num>
  <w:num w:numId="33">
    <w:abstractNumId w:val="19"/>
  </w:num>
  <w:num w:numId="34">
    <w:abstractNumId w:val="6"/>
  </w:num>
  <w:num w:numId="35">
    <w:abstractNumId w:val="16"/>
  </w:num>
  <w:num w:numId="36">
    <w:abstractNumId w:val="41"/>
  </w:num>
  <w:num w:numId="37">
    <w:abstractNumId w:val="13"/>
  </w:num>
  <w:num w:numId="38">
    <w:abstractNumId w:val="0"/>
  </w:num>
  <w:num w:numId="39">
    <w:abstractNumId w:val="9"/>
  </w:num>
  <w:num w:numId="40">
    <w:abstractNumId w:val="45"/>
  </w:num>
  <w:num w:numId="41">
    <w:abstractNumId w:val="33"/>
  </w:num>
  <w:num w:numId="42">
    <w:abstractNumId w:val="17"/>
  </w:num>
  <w:num w:numId="43">
    <w:abstractNumId w:val="26"/>
  </w:num>
  <w:num w:numId="44">
    <w:abstractNumId w:val="32"/>
  </w:num>
  <w:num w:numId="45">
    <w:abstractNumId w:val="20"/>
  </w:num>
  <w:num w:numId="46">
    <w:abstractNumId w:val="12"/>
  </w:num>
  <w:num w:numId="47">
    <w:abstractNumId w:val="40"/>
  </w:num>
  <w:num w:numId="48">
    <w:abstractNumId w:val="36"/>
  </w:num>
  <w:num w:numId="49">
    <w:abstractNumId w:val="18"/>
  </w:num>
  <w:num w:numId="50">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56"/>
    <w:rsid w:val="000018D1"/>
    <w:rsid w:val="00003185"/>
    <w:rsid w:val="00003DE7"/>
    <w:rsid w:val="00004294"/>
    <w:rsid w:val="000047E2"/>
    <w:rsid w:val="00005AB1"/>
    <w:rsid w:val="00010290"/>
    <w:rsid w:val="000118B6"/>
    <w:rsid w:val="00012527"/>
    <w:rsid w:val="000130F3"/>
    <w:rsid w:val="0001532E"/>
    <w:rsid w:val="00020E87"/>
    <w:rsid w:val="0002221D"/>
    <w:rsid w:val="00023324"/>
    <w:rsid w:val="000278CF"/>
    <w:rsid w:val="0003230B"/>
    <w:rsid w:val="0003354D"/>
    <w:rsid w:val="000355C1"/>
    <w:rsid w:val="00035DBF"/>
    <w:rsid w:val="0003659B"/>
    <w:rsid w:val="00040167"/>
    <w:rsid w:val="000402CC"/>
    <w:rsid w:val="0004044B"/>
    <w:rsid w:val="00040D63"/>
    <w:rsid w:val="000411B7"/>
    <w:rsid w:val="00041DEB"/>
    <w:rsid w:val="0004209C"/>
    <w:rsid w:val="00042655"/>
    <w:rsid w:val="00043F56"/>
    <w:rsid w:val="00047C58"/>
    <w:rsid w:val="00051F52"/>
    <w:rsid w:val="00053C49"/>
    <w:rsid w:val="00055180"/>
    <w:rsid w:val="000612C6"/>
    <w:rsid w:val="00062CCA"/>
    <w:rsid w:val="00063B5C"/>
    <w:rsid w:val="00067842"/>
    <w:rsid w:val="00067885"/>
    <w:rsid w:val="00067D4D"/>
    <w:rsid w:val="0007126B"/>
    <w:rsid w:val="00071812"/>
    <w:rsid w:val="000723A8"/>
    <w:rsid w:val="000743C8"/>
    <w:rsid w:val="00074DFF"/>
    <w:rsid w:val="00075567"/>
    <w:rsid w:val="00075619"/>
    <w:rsid w:val="00076A7F"/>
    <w:rsid w:val="00077E87"/>
    <w:rsid w:val="00082079"/>
    <w:rsid w:val="00090F2D"/>
    <w:rsid w:val="000923BA"/>
    <w:rsid w:val="000942DD"/>
    <w:rsid w:val="00094A76"/>
    <w:rsid w:val="000A005D"/>
    <w:rsid w:val="000A1815"/>
    <w:rsid w:val="000A1A71"/>
    <w:rsid w:val="000A2976"/>
    <w:rsid w:val="000A4F0D"/>
    <w:rsid w:val="000A540D"/>
    <w:rsid w:val="000A64AE"/>
    <w:rsid w:val="000B2284"/>
    <w:rsid w:val="000B28EE"/>
    <w:rsid w:val="000B3EA9"/>
    <w:rsid w:val="000B40E5"/>
    <w:rsid w:val="000B48F8"/>
    <w:rsid w:val="000B52C3"/>
    <w:rsid w:val="000B6355"/>
    <w:rsid w:val="000C34DF"/>
    <w:rsid w:val="000C4079"/>
    <w:rsid w:val="000C483F"/>
    <w:rsid w:val="000C51A6"/>
    <w:rsid w:val="000C7CF0"/>
    <w:rsid w:val="000D0F95"/>
    <w:rsid w:val="000D289C"/>
    <w:rsid w:val="000D3BD5"/>
    <w:rsid w:val="000D5D92"/>
    <w:rsid w:val="000D613A"/>
    <w:rsid w:val="000D629A"/>
    <w:rsid w:val="000D701A"/>
    <w:rsid w:val="000E3009"/>
    <w:rsid w:val="000E35C4"/>
    <w:rsid w:val="000F796A"/>
    <w:rsid w:val="0010392C"/>
    <w:rsid w:val="001053C9"/>
    <w:rsid w:val="0011222A"/>
    <w:rsid w:val="00112886"/>
    <w:rsid w:val="00113A95"/>
    <w:rsid w:val="00115CD8"/>
    <w:rsid w:val="0012026E"/>
    <w:rsid w:val="0012136E"/>
    <w:rsid w:val="0012509F"/>
    <w:rsid w:val="00125F15"/>
    <w:rsid w:val="00126223"/>
    <w:rsid w:val="00126807"/>
    <w:rsid w:val="001269D2"/>
    <w:rsid w:val="00131EFC"/>
    <w:rsid w:val="00132D77"/>
    <w:rsid w:val="001337C6"/>
    <w:rsid w:val="00133A5D"/>
    <w:rsid w:val="00133BC7"/>
    <w:rsid w:val="0013576A"/>
    <w:rsid w:val="00136395"/>
    <w:rsid w:val="0013679E"/>
    <w:rsid w:val="00141B48"/>
    <w:rsid w:val="0014306A"/>
    <w:rsid w:val="001436AD"/>
    <w:rsid w:val="0014429C"/>
    <w:rsid w:val="00144D28"/>
    <w:rsid w:val="001453EB"/>
    <w:rsid w:val="00145489"/>
    <w:rsid w:val="0015613E"/>
    <w:rsid w:val="0015782B"/>
    <w:rsid w:val="0016167C"/>
    <w:rsid w:val="001646C6"/>
    <w:rsid w:val="00167BD9"/>
    <w:rsid w:val="001702E6"/>
    <w:rsid w:val="00170418"/>
    <w:rsid w:val="001708CE"/>
    <w:rsid w:val="00173DB1"/>
    <w:rsid w:val="00180ED4"/>
    <w:rsid w:val="001817D6"/>
    <w:rsid w:val="001849EC"/>
    <w:rsid w:val="001900A8"/>
    <w:rsid w:val="00190BC2"/>
    <w:rsid w:val="00196816"/>
    <w:rsid w:val="00197015"/>
    <w:rsid w:val="00197895"/>
    <w:rsid w:val="001A183E"/>
    <w:rsid w:val="001A71F9"/>
    <w:rsid w:val="001A72E8"/>
    <w:rsid w:val="001B3A62"/>
    <w:rsid w:val="001B454E"/>
    <w:rsid w:val="001C0504"/>
    <w:rsid w:val="001D14A7"/>
    <w:rsid w:val="001D2897"/>
    <w:rsid w:val="001D44FC"/>
    <w:rsid w:val="001D48B4"/>
    <w:rsid w:val="001D4A38"/>
    <w:rsid w:val="001D6640"/>
    <w:rsid w:val="001D7FF4"/>
    <w:rsid w:val="001E19FC"/>
    <w:rsid w:val="001E3BED"/>
    <w:rsid w:val="001E4984"/>
    <w:rsid w:val="001E6CC4"/>
    <w:rsid w:val="001F0A06"/>
    <w:rsid w:val="001F16E6"/>
    <w:rsid w:val="001F1715"/>
    <w:rsid w:val="001F640A"/>
    <w:rsid w:val="001F7636"/>
    <w:rsid w:val="002016E3"/>
    <w:rsid w:val="002032C6"/>
    <w:rsid w:val="002046BC"/>
    <w:rsid w:val="0020686D"/>
    <w:rsid w:val="002114E8"/>
    <w:rsid w:val="00211C81"/>
    <w:rsid w:val="00214C30"/>
    <w:rsid w:val="00216D26"/>
    <w:rsid w:val="002170E6"/>
    <w:rsid w:val="00220948"/>
    <w:rsid w:val="0022324D"/>
    <w:rsid w:val="00223A70"/>
    <w:rsid w:val="00225A49"/>
    <w:rsid w:val="00227592"/>
    <w:rsid w:val="00232010"/>
    <w:rsid w:val="00234D23"/>
    <w:rsid w:val="00234F73"/>
    <w:rsid w:val="002354A6"/>
    <w:rsid w:val="00236754"/>
    <w:rsid w:val="00237084"/>
    <w:rsid w:val="002377DE"/>
    <w:rsid w:val="0024029F"/>
    <w:rsid w:val="00240C13"/>
    <w:rsid w:val="00241225"/>
    <w:rsid w:val="00241ACB"/>
    <w:rsid w:val="00242DAA"/>
    <w:rsid w:val="00243277"/>
    <w:rsid w:val="00244550"/>
    <w:rsid w:val="00247117"/>
    <w:rsid w:val="00252926"/>
    <w:rsid w:val="0025462D"/>
    <w:rsid w:val="0025556A"/>
    <w:rsid w:val="00261294"/>
    <w:rsid w:val="00262256"/>
    <w:rsid w:val="00263A44"/>
    <w:rsid w:val="002643CA"/>
    <w:rsid w:val="00265BCC"/>
    <w:rsid w:val="00266CEE"/>
    <w:rsid w:val="00267AE6"/>
    <w:rsid w:val="0027357D"/>
    <w:rsid w:val="00276CF7"/>
    <w:rsid w:val="00276ED2"/>
    <w:rsid w:val="0028001F"/>
    <w:rsid w:val="00285F50"/>
    <w:rsid w:val="00287B5D"/>
    <w:rsid w:val="00293356"/>
    <w:rsid w:val="00293388"/>
    <w:rsid w:val="002940E3"/>
    <w:rsid w:val="002A2A50"/>
    <w:rsid w:val="002A4DFB"/>
    <w:rsid w:val="002A6B66"/>
    <w:rsid w:val="002A6D5F"/>
    <w:rsid w:val="002A7B24"/>
    <w:rsid w:val="002B1ECC"/>
    <w:rsid w:val="002B4DF9"/>
    <w:rsid w:val="002B598E"/>
    <w:rsid w:val="002B7D59"/>
    <w:rsid w:val="002B7F13"/>
    <w:rsid w:val="002C32AA"/>
    <w:rsid w:val="002C3F44"/>
    <w:rsid w:val="002D0CAF"/>
    <w:rsid w:val="002D0FCD"/>
    <w:rsid w:val="002D5612"/>
    <w:rsid w:val="002D5880"/>
    <w:rsid w:val="002D58A5"/>
    <w:rsid w:val="002D6B38"/>
    <w:rsid w:val="002D6E55"/>
    <w:rsid w:val="002E2CBC"/>
    <w:rsid w:val="002E4DF9"/>
    <w:rsid w:val="002E7481"/>
    <w:rsid w:val="002F630A"/>
    <w:rsid w:val="002F6B1E"/>
    <w:rsid w:val="00300019"/>
    <w:rsid w:val="003018A9"/>
    <w:rsid w:val="00302077"/>
    <w:rsid w:val="00302301"/>
    <w:rsid w:val="003035CE"/>
    <w:rsid w:val="00307CF8"/>
    <w:rsid w:val="00310591"/>
    <w:rsid w:val="00314473"/>
    <w:rsid w:val="003160D1"/>
    <w:rsid w:val="00316E66"/>
    <w:rsid w:val="00321497"/>
    <w:rsid w:val="00323117"/>
    <w:rsid w:val="00323EDE"/>
    <w:rsid w:val="00324732"/>
    <w:rsid w:val="00330838"/>
    <w:rsid w:val="003322F2"/>
    <w:rsid w:val="00336A2C"/>
    <w:rsid w:val="003377B1"/>
    <w:rsid w:val="00340442"/>
    <w:rsid w:val="00340919"/>
    <w:rsid w:val="00340EED"/>
    <w:rsid w:val="0034187C"/>
    <w:rsid w:val="00341C2F"/>
    <w:rsid w:val="003429EB"/>
    <w:rsid w:val="00344BCC"/>
    <w:rsid w:val="00346C61"/>
    <w:rsid w:val="00347D03"/>
    <w:rsid w:val="003505E9"/>
    <w:rsid w:val="00352F15"/>
    <w:rsid w:val="00353CED"/>
    <w:rsid w:val="00354A46"/>
    <w:rsid w:val="00355E2F"/>
    <w:rsid w:val="00364DBE"/>
    <w:rsid w:val="00367F46"/>
    <w:rsid w:val="00373090"/>
    <w:rsid w:val="003738EB"/>
    <w:rsid w:val="0037466A"/>
    <w:rsid w:val="003759A5"/>
    <w:rsid w:val="0037745F"/>
    <w:rsid w:val="00377BCF"/>
    <w:rsid w:val="0038281D"/>
    <w:rsid w:val="00382D45"/>
    <w:rsid w:val="00392ACD"/>
    <w:rsid w:val="00396CE6"/>
    <w:rsid w:val="003A4E65"/>
    <w:rsid w:val="003A7B9F"/>
    <w:rsid w:val="003B0BB3"/>
    <w:rsid w:val="003B0C0A"/>
    <w:rsid w:val="003B1057"/>
    <w:rsid w:val="003B1CEC"/>
    <w:rsid w:val="003B2A5E"/>
    <w:rsid w:val="003C412D"/>
    <w:rsid w:val="003C56F0"/>
    <w:rsid w:val="003C662E"/>
    <w:rsid w:val="003C7C33"/>
    <w:rsid w:val="003D18BD"/>
    <w:rsid w:val="003D1CAF"/>
    <w:rsid w:val="003D1D08"/>
    <w:rsid w:val="003D31C5"/>
    <w:rsid w:val="003D33DA"/>
    <w:rsid w:val="003D5551"/>
    <w:rsid w:val="003D7770"/>
    <w:rsid w:val="003E0F2B"/>
    <w:rsid w:val="003E1556"/>
    <w:rsid w:val="003E1BCA"/>
    <w:rsid w:val="003E4A45"/>
    <w:rsid w:val="003E617A"/>
    <w:rsid w:val="003F00B4"/>
    <w:rsid w:val="003F2B18"/>
    <w:rsid w:val="003F495C"/>
    <w:rsid w:val="003F56C0"/>
    <w:rsid w:val="004010F5"/>
    <w:rsid w:val="00402903"/>
    <w:rsid w:val="00402A81"/>
    <w:rsid w:val="00403173"/>
    <w:rsid w:val="00403262"/>
    <w:rsid w:val="00411BBC"/>
    <w:rsid w:val="00412709"/>
    <w:rsid w:val="004131FE"/>
    <w:rsid w:val="00421E9C"/>
    <w:rsid w:val="004225F2"/>
    <w:rsid w:val="00426722"/>
    <w:rsid w:val="00434095"/>
    <w:rsid w:val="00435D24"/>
    <w:rsid w:val="004374A0"/>
    <w:rsid w:val="00437C9D"/>
    <w:rsid w:val="004402D0"/>
    <w:rsid w:val="00441B2D"/>
    <w:rsid w:val="00443400"/>
    <w:rsid w:val="004446B2"/>
    <w:rsid w:val="00446C48"/>
    <w:rsid w:val="004470DF"/>
    <w:rsid w:val="004471EC"/>
    <w:rsid w:val="00447EB6"/>
    <w:rsid w:val="00452CDB"/>
    <w:rsid w:val="00453D05"/>
    <w:rsid w:val="00457D72"/>
    <w:rsid w:val="00460032"/>
    <w:rsid w:val="00461C26"/>
    <w:rsid w:val="0046620F"/>
    <w:rsid w:val="00466C63"/>
    <w:rsid w:val="00472835"/>
    <w:rsid w:val="00473C68"/>
    <w:rsid w:val="00474036"/>
    <w:rsid w:val="00477722"/>
    <w:rsid w:val="004807F5"/>
    <w:rsid w:val="004816B2"/>
    <w:rsid w:val="00482598"/>
    <w:rsid w:val="00483877"/>
    <w:rsid w:val="004839DF"/>
    <w:rsid w:val="0048754F"/>
    <w:rsid w:val="00487A85"/>
    <w:rsid w:val="004941BA"/>
    <w:rsid w:val="004953EC"/>
    <w:rsid w:val="004959EB"/>
    <w:rsid w:val="004A38DE"/>
    <w:rsid w:val="004B1130"/>
    <w:rsid w:val="004C0D23"/>
    <w:rsid w:val="004C6AA5"/>
    <w:rsid w:val="004C795D"/>
    <w:rsid w:val="004D74E5"/>
    <w:rsid w:val="004E24D8"/>
    <w:rsid w:val="004E2F82"/>
    <w:rsid w:val="004E310C"/>
    <w:rsid w:val="004E4C81"/>
    <w:rsid w:val="004E5C11"/>
    <w:rsid w:val="004E5DA9"/>
    <w:rsid w:val="004E63F4"/>
    <w:rsid w:val="004E6FA8"/>
    <w:rsid w:val="004E7984"/>
    <w:rsid w:val="004F5687"/>
    <w:rsid w:val="004F5F06"/>
    <w:rsid w:val="004F737C"/>
    <w:rsid w:val="004F7C6D"/>
    <w:rsid w:val="00501D43"/>
    <w:rsid w:val="0050455E"/>
    <w:rsid w:val="005051C2"/>
    <w:rsid w:val="00505A84"/>
    <w:rsid w:val="00507CF9"/>
    <w:rsid w:val="0051109E"/>
    <w:rsid w:val="0051237D"/>
    <w:rsid w:val="005136BA"/>
    <w:rsid w:val="005208BC"/>
    <w:rsid w:val="00521E93"/>
    <w:rsid w:val="0052287D"/>
    <w:rsid w:val="00525D3A"/>
    <w:rsid w:val="00531A2F"/>
    <w:rsid w:val="0053309A"/>
    <w:rsid w:val="00534724"/>
    <w:rsid w:val="0054359F"/>
    <w:rsid w:val="005463C2"/>
    <w:rsid w:val="005473CD"/>
    <w:rsid w:val="00547BB7"/>
    <w:rsid w:val="005529B0"/>
    <w:rsid w:val="005609FA"/>
    <w:rsid w:val="0056363B"/>
    <w:rsid w:val="0056589B"/>
    <w:rsid w:val="005664DE"/>
    <w:rsid w:val="00570DBC"/>
    <w:rsid w:val="00573A42"/>
    <w:rsid w:val="00574AE4"/>
    <w:rsid w:val="00574B01"/>
    <w:rsid w:val="00580080"/>
    <w:rsid w:val="005807E3"/>
    <w:rsid w:val="00581529"/>
    <w:rsid w:val="00583DD5"/>
    <w:rsid w:val="005848E3"/>
    <w:rsid w:val="00585F8C"/>
    <w:rsid w:val="00587BA4"/>
    <w:rsid w:val="00587F48"/>
    <w:rsid w:val="0059210C"/>
    <w:rsid w:val="005930EE"/>
    <w:rsid w:val="00597258"/>
    <w:rsid w:val="005A4C1B"/>
    <w:rsid w:val="005A5795"/>
    <w:rsid w:val="005B25DA"/>
    <w:rsid w:val="005B4BB2"/>
    <w:rsid w:val="005B7A32"/>
    <w:rsid w:val="005B7A6C"/>
    <w:rsid w:val="005C44C8"/>
    <w:rsid w:val="005C461E"/>
    <w:rsid w:val="005C53E4"/>
    <w:rsid w:val="005C64CE"/>
    <w:rsid w:val="005D2F94"/>
    <w:rsid w:val="005D3E74"/>
    <w:rsid w:val="005D3EED"/>
    <w:rsid w:val="005D52F2"/>
    <w:rsid w:val="005E00CB"/>
    <w:rsid w:val="005E24EE"/>
    <w:rsid w:val="005F2A44"/>
    <w:rsid w:val="005F4075"/>
    <w:rsid w:val="005F78E3"/>
    <w:rsid w:val="00602537"/>
    <w:rsid w:val="00604B5C"/>
    <w:rsid w:val="0060536B"/>
    <w:rsid w:val="00605473"/>
    <w:rsid w:val="00605832"/>
    <w:rsid w:val="006068E1"/>
    <w:rsid w:val="0060763E"/>
    <w:rsid w:val="00611213"/>
    <w:rsid w:val="006208BE"/>
    <w:rsid w:val="00621F99"/>
    <w:rsid w:val="006240CB"/>
    <w:rsid w:val="006254A6"/>
    <w:rsid w:val="00625ABD"/>
    <w:rsid w:val="00627BDE"/>
    <w:rsid w:val="00630117"/>
    <w:rsid w:val="00630979"/>
    <w:rsid w:val="00633B1A"/>
    <w:rsid w:val="00636F55"/>
    <w:rsid w:val="00641EC0"/>
    <w:rsid w:val="006429C8"/>
    <w:rsid w:val="006437BD"/>
    <w:rsid w:val="006467CB"/>
    <w:rsid w:val="00646C9A"/>
    <w:rsid w:val="00656591"/>
    <w:rsid w:val="0065667C"/>
    <w:rsid w:val="0066196E"/>
    <w:rsid w:val="0066279A"/>
    <w:rsid w:val="0066490F"/>
    <w:rsid w:val="00664E04"/>
    <w:rsid w:val="00666562"/>
    <w:rsid w:val="00670747"/>
    <w:rsid w:val="006718C6"/>
    <w:rsid w:val="00673B03"/>
    <w:rsid w:val="0067609A"/>
    <w:rsid w:val="00680E2A"/>
    <w:rsid w:val="006815BB"/>
    <w:rsid w:val="006835D4"/>
    <w:rsid w:val="00684303"/>
    <w:rsid w:val="00686129"/>
    <w:rsid w:val="006922D1"/>
    <w:rsid w:val="0069241E"/>
    <w:rsid w:val="006944A1"/>
    <w:rsid w:val="006961B7"/>
    <w:rsid w:val="006A109A"/>
    <w:rsid w:val="006A1863"/>
    <w:rsid w:val="006A2A65"/>
    <w:rsid w:val="006A4ACD"/>
    <w:rsid w:val="006A5DF8"/>
    <w:rsid w:val="006A6273"/>
    <w:rsid w:val="006A6C1B"/>
    <w:rsid w:val="006B06E8"/>
    <w:rsid w:val="006B0BB9"/>
    <w:rsid w:val="006B397B"/>
    <w:rsid w:val="006C3DBF"/>
    <w:rsid w:val="006C4465"/>
    <w:rsid w:val="006C45A0"/>
    <w:rsid w:val="006D094F"/>
    <w:rsid w:val="006D0E0B"/>
    <w:rsid w:val="006D19F9"/>
    <w:rsid w:val="006D3F40"/>
    <w:rsid w:val="006D4818"/>
    <w:rsid w:val="006D4B5F"/>
    <w:rsid w:val="006D5E8E"/>
    <w:rsid w:val="006E01EE"/>
    <w:rsid w:val="006E0685"/>
    <w:rsid w:val="006E0BB1"/>
    <w:rsid w:val="006E100F"/>
    <w:rsid w:val="006E66E0"/>
    <w:rsid w:val="006F0FA0"/>
    <w:rsid w:val="006F2B4B"/>
    <w:rsid w:val="006F742B"/>
    <w:rsid w:val="00700F9C"/>
    <w:rsid w:val="00703F7D"/>
    <w:rsid w:val="007100FA"/>
    <w:rsid w:val="00711921"/>
    <w:rsid w:val="00717377"/>
    <w:rsid w:val="00725D83"/>
    <w:rsid w:val="00726284"/>
    <w:rsid w:val="00726F5C"/>
    <w:rsid w:val="00727A43"/>
    <w:rsid w:val="0073133E"/>
    <w:rsid w:val="00731A41"/>
    <w:rsid w:val="00732570"/>
    <w:rsid w:val="0073305E"/>
    <w:rsid w:val="007332DD"/>
    <w:rsid w:val="007414E0"/>
    <w:rsid w:val="00743AAD"/>
    <w:rsid w:val="00744375"/>
    <w:rsid w:val="00744CCF"/>
    <w:rsid w:val="00746457"/>
    <w:rsid w:val="00746A2E"/>
    <w:rsid w:val="0075249F"/>
    <w:rsid w:val="007538A8"/>
    <w:rsid w:val="0075454E"/>
    <w:rsid w:val="00754780"/>
    <w:rsid w:val="00757082"/>
    <w:rsid w:val="00757F5C"/>
    <w:rsid w:val="00760703"/>
    <w:rsid w:val="00761232"/>
    <w:rsid w:val="00761DE7"/>
    <w:rsid w:val="00762C2F"/>
    <w:rsid w:val="00764386"/>
    <w:rsid w:val="007651DC"/>
    <w:rsid w:val="007653AC"/>
    <w:rsid w:val="00765543"/>
    <w:rsid w:val="0076669C"/>
    <w:rsid w:val="007668B1"/>
    <w:rsid w:val="00766F82"/>
    <w:rsid w:val="00770FAA"/>
    <w:rsid w:val="00773B04"/>
    <w:rsid w:val="007747B2"/>
    <w:rsid w:val="00775D25"/>
    <w:rsid w:val="007767B5"/>
    <w:rsid w:val="0078209A"/>
    <w:rsid w:val="00782FF0"/>
    <w:rsid w:val="00783021"/>
    <w:rsid w:val="007850C8"/>
    <w:rsid w:val="007866B0"/>
    <w:rsid w:val="00787A8B"/>
    <w:rsid w:val="0079164C"/>
    <w:rsid w:val="00793AB9"/>
    <w:rsid w:val="007948D0"/>
    <w:rsid w:val="0079537F"/>
    <w:rsid w:val="007A0F07"/>
    <w:rsid w:val="007A6216"/>
    <w:rsid w:val="007B0B05"/>
    <w:rsid w:val="007B1ECE"/>
    <w:rsid w:val="007B4967"/>
    <w:rsid w:val="007B6371"/>
    <w:rsid w:val="007C21D8"/>
    <w:rsid w:val="007C3FD5"/>
    <w:rsid w:val="007D2348"/>
    <w:rsid w:val="007D26A6"/>
    <w:rsid w:val="007D6F4D"/>
    <w:rsid w:val="007E1769"/>
    <w:rsid w:val="007E52FD"/>
    <w:rsid w:val="007E591B"/>
    <w:rsid w:val="007E6D9D"/>
    <w:rsid w:val="007F1EB5"/>
    <w:rsid w:val="007F2C7B"/>
    <w:rsid w:val="007F4262"/>
    <w:rsid w:val="007F593B"/>
    <w:rsid w:val="007F7569"/>
    <w:rsid w:val="008003D3"/>
    <w:rsid w:val="00800622"/>
    <w:rsid w:val="00801955"/>
    <w:rsid w:val="00801A1D"/>
    <w:rsid w:val="00802A17"/>
    <w:rsid w:val="008030B2"/>
    <w:rsid w:val="008035B4"/>
    <w:rsid w:val="00807AA6"/>
    <w:rsid w:val="00813D0B"/>
    <w:rsid w:val="00815BDA"/>
    <w:rsid w:val="00816114"/>
    <w:rsid w:val="008217ED"/>
    <w:rsid w:val="008230B8"/>
    <w:rsid w:val="00825726"/>
    <w:rsid w:val="00826535"/>
    <w:rsid w:val="008278F4"/>
    <w:rsid w:val="008302A1"/>
    <w:rsid w:val="008350BF"/>
    <w:rsid w:val="008361A9"/>
    <w:rsid w:val="00836C91"/>
    <w:rsid w:val="00837443"/>
    <w:rsid w:val="0083778A"/>
    <w:rsid w:val="00840D4A"/>
    <w:rsid w:val="00844234"/>
    <w:rsid w:val="0084720B"/>
    <w:rsid w:val="00850636"/>
    <w:rsid w:val="008515CA"/>
    <w:rsid w:val="008519A6"/>
    <w:rsid w:val="0085268D"/>
    <w:rsid w:val="0085584D"/>
    <w:rsid w:val="008563D2"/>
    <w:rsid w:val="0085715C"/>
    <w:rsid w:val="00857D32"/>
    <w:rsid w:val="00860757"/>
    <w:rsid w:val="00862F3C"/>
    <w:rsid w:val="00867EE2"/>
    <w:rsid w:val="0087360D"/>
    <w:rsid w:val="00874139"/>
    <w:rsid w:val="00874936"/>
    <w:rsid w:val="008762B8"/>
    <w:rsid w:val="0087722F"/>
    <w:rsid w:val="0087733E"/>
    <w:rsid w:val="0087744F"/>
    <w:rsid w:val="00877617"/>
    <w:rsid w:val="00880AD1"/>
    <w:rsid w:val="0088144F"/>
    <w:rsid w:val="008826DA"/>
    <w:rsid w:val="00884C36"/>
    <w:rsid w:val="00885B08"/>
    <w:rsid w:val="0089031B"/>
    <w:rsid w:val="00890A6B"/>
    <w:rsid w:val="00891110"/>
    <w:rsid w:val="00892643"/>
    <w:rsid w:val="00893674"/>
    <w:rsid w:val="00895215"/>
    <w:rsid w:val="00895660"/>
    <w:rsid w:val="00896E3B"/>
    <w:rsid w:val="00897608"/>
    <w:rsid w:val="008A05ED"/>
    <w:rsid w:val="008A58DE"/>
    <w:rsid w:val="008B0607"/>
    <w:rsid w:val="008B087C"/>
    <w:rsid w:val="008B2F96"/>
    <w:rsid w:val="008B4681"/>
    <w:rsid w:val="008B4EC0"/>
    <w:rsid w:val="008B6ABC"/>
    <w:rsid w:val="008C10DB"/>
    <w:rsid w:val="008C1A51"/>
    <w:rsid w:val="008C281F"/>
    <w:rsid w:val="008C4618"/>
    <w:rsid w:val="008D2195"/>
    <w:rsid w:val="008D21C6"/>
    <w:rsid w:val="008D3130"/>
    <w:rsid w:val="008E0907"/>
    <w:rsid w:val="008E0FA0"/>
    <w:rsid w:val="008E2921"/>
    <w:rsid w:val="008E29AB"/>
    <w:rsid w:val="008E33AA"/>
    <w:rsid w:val="008E39FF"/>
    <w:rsid w:val="008E3C64"/>
    <w:rsid w:val="008F1E9E"/>
    <w:rsid w:val="008F5E33"/>
    <w:rsid w:val="00902236"/>
    <w:rsid w:val="00902F39"/>
    <w:rsid w:val="00903434"/>
    <w:rsid w:val="00903695"/>
    <w:rsid w:val="0090625E"/>
    <w:rsid w:val="0090678E"/>
    <w:rsid w:val="00911066"/>
    <w:rsid w:val="0091137C"/>
    <w:rsid w:val="00911684"/>
    <w:rsid w:val="00911756"/>
    <w:rsid w:val="00912733"/>
    <w:rsid w:val="009139E3"/>
    <w:rsid w:val="009149C4"/>
    <w:rsid w:val="00915F6B"/>
    <w:rsid w:val="00916D7B"/>
    <w:rsid w:val="009236CA"/>
    <w:rsid w:val="00924251"/>
    <w:rsid w:val="00924D4F"/>
    <w:rsid w:val="00925FDD"/>
    <w:rsid w:val="00926364"/>
    <w:rsid w:val="009268F9"/>
    <w:rsid w:val="00927DE1"/>
    <w:rsid w:val="00932E84"/>
    <w:rsid w:val="009400F0"/>
    <w:rsid w:val="00945CE1"/>
    <w:rsid w:val="00945EA0"/>
    <w:rsid w:val="009471FB"/>
    <w:rsid w:val="00950235"/>
    <w:rsid w:val="00950B9E"/>
    <w:rsid w:val="009516A7"/>
    <w:rsid w:val="0095299C"/>
    <w:rsid w:val="00960A33"/>
    <w:rsid w:val="009615CC"/>
    <w:rsid w:val="009644A8"/>
    <w:rsid w:val="009659D0"/>
    <w:rsid w:val="00966C55"/>
    <w:rsid w:val="00966F14"/>
    <w:rsid w:val="00967AE1"/>
    <w:rsid w:val="00972A3B"/>
    <w:rsid w:val="0097424D"/>
    <w:rsid w:val="009762BD"/>
    <w:rsid w:val="00981133"/>
    <w:rsid w:val="0098315D"/>
    <w:rsid w:val="0098369D"/>
    <w:rsid w:val="00985872"/>
    <w:rsid w:val="00996DAD"/>
    <w:rsid w:val="00997363"/>
    <w:rsid w:val="009A021E"/>
    <w:rsid w:val="009A08D8"/>
    <w:rsid w:val="009A43E6"/>
    <w:rsid w:val="009A45C2"/>
    <w:rsid w:val="009A59F0"/>
    <w:rsid w:val="009A74F7"/>
    <w:rsid w:val="009B04B5"/>
    <w:rsid w:val="009B1036"/>
    <w:rsid w:val="009B1F2F"/>
    <w:rsid w:val="009B5926"/>
    <w:rsid w:val="009B5A00"/>
    <w:rsid w:val="009C245E"/>
    <w:rsid w:val="009C2491"/>
    <w:rsid w:val="009C6291"/>
    <w:rsid w:val="009C7FBE"/>
    <w:rsid w:val="009D3ADF"/>
    <w:rsid w:val="009D7717"/>
    <w:rsid w:val="009E1880"/>
    <w:rsid w:val="009E1DD4"/>
    <w:rsid w:val="009E24A5"/>
    <w:rsid w:val="009E269F"/>
    <w:rsid w:val="009F05C2"/>
    <w:rsid w:val="009F2D09"/>
    <w:rsid w:val="009F2D19"/>
    <w:rsid w:val="009F373D"/>
    <w:rsid w:val="009F3ADB"/>
    <w:rsid w:val="009F7412"/>
    <w:rsid w:val="00A00377"/>
    <w:rsid w:val="00A039D8"/>
    <w:rsid w:val="00A04D66"/>
    <w:rsid w:val="00A05E72"/>
    <w:rsid w:val="00A06573"/>
    <w:rsid w:val="00A10F47"/>
    <w:rsid w:val="00A119D2"/>
    <w:rsid w:val="00A15816"/>
    <w:rsid w:val="00A15994"/>
    <w:rsid w:val="00A20AAF"/>
    <w:rsid w:val="00A2356E"/>
    <w:rsid w:val="00A23EAE"/>
    <w:rsid w:val="00A24DED"/>
    <w:rsid w:val="00A30B9E"/>
    <w:rsid w:val="00A32733"/>
    <w:rsid w:val="00A353BA"/>
    <w:rsid w:val="00A3691C"/>
    <w:rsid w:val="00A36F8C"/>
    <w:rsid w:val="00A41E9F"/>
    <w:rsid w:val="00A423B6"/>
    <w:rsid w:val="00A42E16"/>
    <w:rsid w:val="00A453CF"/>
    <w:rsid w:val="00A46741"/>
    <w:rsid w:val="00A47379"/>
    <w:rsid w:val="00A47A1B"/>
    <w:rsid w:val="00A50D97"/>
    <w:rsid w:val="00A54735"/>
    <w:rsid w:val="00A5633E"/>
    <w:rsid w:val="00A627B3"/>
    <w:rsid w:val="00A62F23"/>
    <w:rsid w:val="00A631AD"/>
    <w:rsid w:val="00A64F42"/>
    <w:rsid w:val="00A73E82"/>
    <w:rsid w:val="00A74D4A"/>
    <w:rsid w:val="00A77099"/>
    <w:rsid w:val="00A77841"/>
    <w:rsid w:val="00A827EC"/>
    <w:rsid w:val="00A84D1C"/>
    <w:rsid w:val="00A851E6"/>
    <w:rsid w:val="00A85588"/>
    <w:rsid w:val="00A94B61"/>
    <w:rsid w:val="00AA0AFD"/>
    <w:rsid w:val="00AA1B52"/>
    <w:rsid w:val="00AA1EC8"/>
    <w:rsid w:val="00AA3ECF"/>
    <w:rsid w:val="00AA42ED"/>
    <w:rsid w:val="00AA6FB9"/>
    <w:rsid w:val="00AA7428"/>
    <w:rsid w:val="00AB7372"/>
    <w:rsid w:val="00AC088A"/>
    <w:rsid w:val="00AC2105"/>
    <w:rsid w:val="00AD0B2A"/>
    <w:rsid w:val="00AD10B0"/>
    <w:rsid w:val="00AD1A2D"/>
    <w:rsid w:val="00AD5F42"/>
    <w:rsid w:val="00AD6725"/>
    <w:rsid w:val="00AD7FB2"/>
    <w:rsid w:val="00AE03B1"/>
    <w:rsid w:val="00AE2397"/>
    <w:rsid w:val="00AE2D44"/>
    <w:rsid w:val="00AE48A7"/>
    <w:rsid w:val="00AE501B"/>
    <w:rsid w:val="00AF0DD8"/>
    <w:rsid w:val="00AF23D7"/>
    <w:rsid w:val="00AF4C4F"/>
    <w:rsid w:val="00AF5AF3"/>
    <w:rsid w:val="00B02FB9"/>
    <w:rsid w:val="00B03EDF"/>
    <w:rsid w:val="00B07AE2"/>
    <w:rsid w:val="00B102A3"/>
    <w:rsid w:val="00B1164B"/>
    <w:rsid w:val="00B1195F"/>
    <w:rsid w:val="00B12771"/>
    <w:rsid w:val="00B142D0"/>
    <w:rsid w:val="00B15311"/>
    <w:rsid w:val="00B1630B"/>
    <w:rsid w:val="00B17AA1"/>
    <w:rsid w:val="00B214BB"/>
    <w:rsid w:val="00B2367D"/>
    <w:rsid w:val="00B2399A"/>
    <w:rsid w:val="00B23AF1"/>
    <w:rsid w:val="00B23FB9"/>
    <w:rsid w:val="00B24AF3"/>
    <w:rsid w:val="00B304DF"/>
    <w:rsid w:val="00B31BF0"/>
    <w:rsid w:val="00B3336D"/>
    <w:rsid w:val="00B34AC0"/>
    <w:rsid w:val="00B40882"/>
    <w:rsid w:val="00B42DEC"/>
    <w:rsid w:val="00B44823"/>
    <w:rsid w:val="00B45176"/>
    <w:rsid w:val="00B52036"/>
    <w:rsid w:val="00B537B8"/>
    <w:rsid w:val="00B53E00"/>
    <w:rsid w:val="00B53EB1"/>
    <w:rsid w:val="00B546AE"/>
    <w:rsid w:val="00B57E1C"/>
    <w:rsid w:val="00B60637"/>
    <w:rsid w:val="00B63D9E"/>
    <w:rsid w:val="00B64620"/>
    <w:rsid w:val="00B647F9"/>
    <w:rsid w:val="00B64FF1"/>
    <w:rsid w:val="00B70107"/>
    <w:rsid w:val="00B70C47"/>
    <w:rsid w:val="00B74D58"/>
    <w:rsid w:val="00B75603"/>
    <w:rsid w:val="00B84871"/>
    <w:rsid w:val="00B901DD"/>
    <w:rsid w:val="00B90F3B"/>
    <w:rsid w:val="00B956A8"/>
    <w:rsid w:val="00B96661"/>
    <w:rsid w:val="00B9711C"/>
    <w:rsid w:val="00BA1D5B"/>
    <w:rsid w:val="00BA2065"/>
    <w:rsid w:val="00BA3095"/>
    <w:rsid w:val="00BA6CF9"/>
    <w:rsid w:val="00BB01CE"/>
    <w:rsid w:val="00BB196C"/>
    <w:rsid w:val="00BC0512"/>
    <w:rsid w:val="00BC13B6"/>
    <w:rsid w:val="00BC1998"/>
    <w:rsid w:val="00BC1F75"/>
    <w:rsid w:val="00BC2698"/>
    <w:rsid w:val="00BC2714"/>
    <w:rsid w:val="00BC3464"/>
    <w:rsid w:val="00BC5A6B"/>
    <w:rsid w:val="00BC6195"/>
    <w:rsid w:val="00BD01C2"/>
    <w:rsid w:val="00BD2DE6"/>
    <w:rsid w:val="00BD6CE1"/>
    <w:rsid w:val="00BD73D0"/>
    <w:rsid w:val="00BD7F81"/>
    <w:rsid w:val="00BE1792"/>
    <w:rsid w:val="00BE24E6"/>
    <w:rsid w:val="00BE2C85"/>
    <w:rsid w:val="00BE2D96"/>
    <w:rsid w:val="00BE2DF1"/>
    <w:rsid w:val="00BF06B4"/>
    <w:rsid w:val="00BF2C4B"/>
    <w:rsid w:val="00BF3392"/>
    <w:rsid w:val="00BF5045"/>
    <w:rsid w:val="00BF584C"/>
    <w:rsid w:val="00BF68EC"/>
    <w:rsid w:val="00C00357"/>
    <w:rsid w:val="00C00428"/>
    <w:rsid w:val="00C00944"/>
    <w:rsid w:val="00C05F53"/>
    <w:rsid w:val="00C06123"/>
    <w:rsid w:val="00C0640D"/>
    <w:rsid w:val="00C07E4A"/>
    <w:rsid w:val="00C11CDF"/>
    <w:rsid w:val="00C134B2"/>
    <w:rsid w:val="00C212EF"/>
    <w:rsid w:val="00C21610"/>
    <w:rsid w:val="00C249F2"/>
    <w:rsid w:val="00C25D14"/>
    <w:rsid w:val="00C26ABB"/>
    <w:rsid w:val="00C27E7F"/>
    <w:rsid w:val="00C31313"/>
    <w:rsid w:val="00C313EF"/>
    <w:rsid w:val="00C32B89"/>
    <w:rsid w:val="00C34107"/>
    <w:rsid w:val="00C374AB"/>
    <w:rsid w:val="00C37BB0"/>
    <w:rsid w:val="00C40A0D"/>
    <w:rsid w:val="00C40DBD"/>
    <w:rsid w:val="00C41A28"/>
    <w:rsid w:val="00C44905"/>
    <w:rsid w:val="00C45296"/>
    <w:rsid w:val="00C46C17"/>
    <w:rsid w:val="00C54214"/>
    <w:rsid w:val="00C60086"/>
    <w:rsid w:val="00C6074C"/>
    <w:rsid w:val="00C60AE7"/>
    <w:rsid w:val="00C62EA4"/>
    <w:rsid w:val="00C67DD8"/>
    <w:rsid w:val="00C70588"/>
    <w:rsid w:val="00C7062F"/>
    <w:rsid w:val="00C73630"/>
    <w:rsid w:val="00C73731"/>
    <w:rsid w:val="00C74AFE"/>
    <w:rsid w:val="00C75099"/>
    <w:rsid w:val="00C752F4"/>
    <w:rsid w:val="00C85E4B"/>
    <w:rsid w:val="00C8688E"/>
    <w:rsid w:val="00C868E3"/>
    <w:rsid w:val="00C86EA9"/>
    <w:rsid w:val="00C8757A"/>
    <w:rsid w:val="00C876C7"/>
    <w:rsid w:val="00C91E1A"/>
    <w:rsid w:val="00C931E4"/>
    <w:rsid w:val="00C93832"/>
    <w:rsid w:val="00C96697"/>
    <w:rsid w:val="00CA0CE3"/>
    <w:rsid w:val="00CA101C"/>
    <w:rsid w:val="00CA420B"/>
    <w:rsid w:val="00CA511B"/>
    <w:rsid w:val="00CA5713"/>
    <w:rsid w:val="00CA672C"/>
    <w:rsid w:val="00CB1809"/>
    <w:rsid w:val="00CB21D8"/>
    <w:rsid w:val="00CC1AFC"/>
    <w:rsid w:val="00CC2052"/>
    <w:rsid w:val="00CC3318"/>
    <w:rsid w:val="00CC3C29"/>
    <w:rsid w:val="00CC5479"/>
    <w:rsid w:val="00CC7C3A"/>
    <w:rsid w:val="00CD194E"/>
    <w:rsid w:val="00CD382E"/>
    <w:rsid w:val="00CD3FB3"/>
    <w:rsid w:val="00CD498E"/>
    <w:rsid w:val="00CD620B"/>
    <w:rsid w:val="00CD6749"/>
    <w:rsid w:val="00CE02C3"/>
    <w:rsid w:val="00CE10BD"/>
    <w:rsid w:val="00CE13EB"/>
    <w:rsid w:val="00CE5EDA"/>
    <w:rsid w:val="00CF2176"/>
    <w:rsid w:val="00CF3E2A"/>
    <w:rsid w:val="00CF4E80"/>
    <w:rsid w:val="00CF686C"/>
    <w:rsid w:val="00CF71DF"/>
    <w:rsid w:val="00D103DB"/>
    <w:rsid w:val="00D1252B"/>
    <w:rsid w:val="00D12D87"/>
    <w:rsid w:val="00D14910"/>
    <w:rsid w:val="00D20A8F"/>
    <w:rsid w:val="00D24B2E"/>
    <w:rsid w:val="00D26083"/>
    <w:rsid w:val="00D26406"/>
    <w:rsid w:val="00D2646F"/>
    <w:rsid w:val="00D275A8"/>
    <w:rsid w:val="00D318B1"/>
    <w:rsid w:val="00D31B1A"/>
    <w:rsid w:val="00D32DE5"/>
    <w:rsid w:val="00D36968"/>
    <w:rsid w:val="00D36A12"/>
    <w:rsid w:val="00D36AD9"/>
    <w:rsid w:val="00D41150"/>
    <w:rsid w:val="00D413EF"/>
    <w:rsid w:val="00D425EA"/>
    <w:rsid w:val="00D50853"/>
    <w:rsid w:val="00D51984"/>
    <w:rsid w:val="00D56917"/>
    <w:rsid w:val="00D626B9"/>
    <w:rsid w:val="00D63108"/>
    <w:rsid w:val="00D65DD5"/>
    <w:rsid w:val="00D65F23"/>
    <w:rsid w:val="00D665B0"/>
    <w:rsid w:val="00D66D9D"/>
    <w:rsid w:val="00D72D33"/>
    <w:rsid w:val="00D7358B"/>
    <w:rsid w:val="00D774A8"/>
    <w:rsid w:val="00D8078C"/>
    <w:rsid w:val="00D854A9"/>
    <w:rsid w:val="00D86828"/>
    <w:rsid w:val="00D87C6F"/>
    <w:rsid w:val="00D9099F"/>
    <w:rsid w:val="00D91A1F"/>
    <w:rsid w:val="00D9258F"/>
    <w:rsid w:val="00D9575C"/>
    <w:rsid w:val="00D96FBB"/>
    <w:rsid w:val="00DA03F0"/>
    <w:rsid w:val="00DA22A4"/>
    <w:rsid w:val="00DA2518"/>
    <w:rsid w:val="00DA34EA"/>
    <w:rsid w:val="00DA38E2"/>
    <w:rsid w:val="00DA68AD"/>
    <w:rsid w:val="00DB2541"/>
    <w:rsid w:val="00DB41A0"/>
    <w:rsid w:val="00DB504A"/>
    <w:rsid w:val="00DB55ED"/>
    <w:rsid w:val="00DC1118"/>
    <w:rsid w:val="00DC3DA4"/>
    <w:rsid w:val="00DC4B44"/>
    <w:rsid w:val="00DC5274"/>
    <w:rsid w:val="00DC6A9B"/>
    <w:rsid w:val="00DD4EB6"/>
    <w:rsid w:val="00DD5237"/>
    <w:rsid w:val="00DD548D"/>
    <w:rsid w:val="00DD56F0"/>
    <w:rsid w:val="00DD6D5E"/>
    <w:rsid w:val="00DE04DD"/>
    <w:rsid w:val="00DE0976"/>
    <w:rsid w:val="00DE2E54"/>
    <w:rsid w:val="00DE34DB"/>
    <w:rsid w:val="00DE52BF"/>
    <w:rsid w:val="00DE56F2"/>
    <w:rsid w:val="00DE575F"/>
    <w:rsid w:val="00DE5ED5"/>
    <w:rsid w:val="00DE6A23"/>
    <w:rsid w:val="00DF1D4D"/>
    <w:rsid w:val="00DF20CC"/>
    <w:rsid w:val="00DF5E72"/>
    <w:rsid w:val="00DF797B"/>
    <w:rsid w:val="00E0034C"/>
    <w:rsid w:val="00E00F2B"/>
    <w:rsid w:val="00E025ED"/>
    <w:rsid w:val="00E0491A"/>
    <w:rsid w:val="00E04E60"/>
    <w:rsid w:val="00E05977"/>
    <w:rsid w:val="00E07B0E"/>
    <w:rsid w:val="00E07D1C"/>
    <w:rsid w:val="00E142BC"/>
    <w:rsid w:val="00E22470"/>
    <w:rsid w:val="00E227EC"/>
    <w:rsid w:val="00E26D87"/>
    <w:rsid w:val="00E32DF8"/>
    <w:rsid w:val="00E34083"/>
    <w:rsid w:val="00E342EC"/>
    <w:rsid w:val="00E349A4"/>
    <w:rsid w:val="00E36708"/>
    <w:rsid w:val="00E43B42"/>
    <w:rsid w:val="00E44269"/>
    <w:rsid w:val="00E46759"/>
    <w:rsid w:val="00E5124B"/>
    <w:rsid w:val="00E538A2"/>
    <w:rsid w:val="00E54CDB"/>
    <w:rsid w:val="00E55D53"/>
    <w:rsid w:val="00E56875"/>
    <w:rsid w:val="00E57464"/>
    <w:rsid w:val="00E57712"/>
    <w:rsid w:val="00E6411A"/>
    <w:rsid w:val="00E641E5"/>
    <w:rsid w:val="00E64F72"/>
    <w:rsid w:val="00E652EF"/>
    <w:rsid w:val="00E65719"/>
    <w:rsid w:val="00E65996"/>
    <w:rsid w:val="00E702FD"/>
    <w:rsid w:val="00E731D6"/>
    <w:rsid w:val="00E734D0"/>
    <w:rsid w:val="00E76DBE"/>
    <w:rsid w:val="00E77827"/>
    <w:rsid w:val="00E8056D"/>
    <w:rsid w:val="00E83583"/>
    <w:rsid w:val="00E90D3E"/>
    <w:rsid w:val="00E90F13"/>
    <w:rsid w:val="00E95367"/>
    <w:rsid w:val="00E955B8"/>
    <w:rsid w:val="00E97A98"/>
    <w:rsid w:val="00EA06A4"/>
    <w:rsid w:val="00EA303A"/>
    <w:rsid w:val="00EA3E3B"/>
    <w:rsid w:val="00EA446E"/>
    <w:rsid w:val="00EA46D1"/>
    <w:rsid w:val="00EA47A7"/>
    <w:rsid w:val="00EA4A64"/>
    <w:rsid w:val="00EB2F82"/>
    <w:rsid w:val="00EB468D"/>
    <w:rsid w:val="00EB4B6D"/>
    <w:rsid w:val="00EB6A6B"/>
    <w:rsid w:val="00EC0195"/>
    <w:rsid w:val="00EC3F28"/>
    <w:rsid w:val="00EC4DB5"/>
    <w:rsid w:val="00EE095D"/>
    <w:rsid w:val="00EE1715"/>
    <w:rsid w:val="00EE3B6D"/>
    <w:rsid w:val="00EE3E0C"/>
    <w:rsid w:val="00EE3FAC"/>
    <w:rsid w:val="00EE54FC"/>
    <w:rsid w:val="00EF0245"/>
    <w:rsid w:val="00EF2525"/>
    <w:rsid w:val="00EF3FA3"/>
    <w:rsid w:val="00EF5875"/>
    <w:rsid w:val="00EF6801"/>
    <w:rsid w:val="00F00627"/>
    <w:rsid w:val="00F00B8D"/>
    <w:rsid w:val="00F03CAF"/>
    <w:rsid w:val="00F07EE6"/>
    <w:rsid w:val="00F11BA8"/>
    <w:rsid w:val="00F141F9"/>
    <w:rsid w:val="00F166F4"/>
    <w:rsid w:val="00F179F2"/>
    <w:rsid w:val="00F17A54"/>
    <w:rsid w:val="00F20334"/>
    <w:rsid w:val="00F214AF"/>
    <w:rsid w:val="00F23A9A"/>
    <w:rsid w:val="00F2468C"/>
    <w:rsid w:val="00F279D5"/>
    <w:rsid w:val="00F30917"/>
    <w:rsid w:val="00F31850"/>
    <w:rsid w:val="00F32D78"/>
    <w:rsid w:val="00F341E2"/>
    <w:rsid w:val="00F34851"/>
    <w:rsid w:val="00F36431"/>
    <w:rsid w:val="00F37284"/>
    <w:rsid w:val="00F414A6"/>
    <w:rsid w:val="00F454CD"/>
    <w:rsid w:val="00F50987"/>
    <w:rsid w:val="00F53E66"/>
    <w:rsid w:val="00F54724"/>
    <w:rsid w:val="00F55170"/>
    <w:rsid w:val="00F5617F"/>
    <w:rsid w:val="00F57473"/>
    <w:rsid w:val="00F60023"/>
    <w:rsid w:val="00F6068E"/>
    <w:rsid w:val="00F61B8E"/>
    <w:rsid w:val="00F632A1"/>
    <w:rsid w:val="00F67F12"/>
    <w:rsid w:val="00F70AFA"/>
    <w:rsid w:val="00F74136"/>
    <w:rsid w:val="00F74225"/>
    <w:rsid w:val="00F768C8"/>
    <w:rsid w:val="00F830A9"/>
    <w:rsid w:val="00F840BA"/>
    <w:rsid w:val="00F84154"/>
    <w:rsid w:val="00F85767"/>
    <w:rsid w:val="00F8582C"/>
    <w:rsid w:val="00F85DC0"/>
    <w:rsid w:val="00F8626E"/>
    <w:rsid w:val="00F873C9"/>
    <w:rsid w:val="00F906E1"/>
    <w:rsid w:val="00F941C1"/>
    <w:rsid w:val="00F9477E"/>
    <w:rsid w:val="00F95A64"/>
    <w:rsid w:val="00F97960"/>
    <w:rsid w:val="00FA3356"/>
    <w:rsid w:val="00FA4A28"/>
    <w:rsid w:val="00FB04C5"/>
    <w:rsid w:val="00FB0D2D"/>
    <w:rsid w:val="00FB7BEA"/>
    <w:rsid w:val="00FC0E86"/>
    <w:rsid w:val="00FC3A42"/>
    <w:rsid w:val="00FC43A3"/>
    <w:rsid w:val="00FC47CE"/>
    <w:rsid w:val="00FC71BE"/>
    <w:rsid w:val="00FD1441"/>
    <w:rsid w:val="00FD32D0"/>
    <w:rsid w:val="00FD551C"/>
    <w:rsid w:val="00FD57DC"/>
    <w:rsid w:val="00FD6047"/>
    <w:rsid w:val="00FD6386"/>
    <w:rsid w:val="00FE0C9E"/>
    <w:rsid w:val="00FE18D2"/>
    <w:rsid w:val="00FE221F"/>
    <w:rsid w:val="00FE3C7E"/>
    <w:rsid w:val="00FE6254"/>
    <w:rsid w:val="00FF1047"/>
    <w:rsid w:val="00FF1D6C"/>
    <w:rsid w:val="00FF2CE8"/>
    <w:rsid w:val="00FF3884"/>
    <w:rsid w:val="00FF7040"/>
    <w:rsid w:val="00FF798C"/>
    <w:rsid w:val="3AB8B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A72F5D"/>
  <w14:defaultImageDpi w14:val="300"/>
  <w15:docId w15:val="{DBE924D5-9CE0-4896-8EA6-E5DFF64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semiHidden/>
    <w:unhideWhenUsed/>
    <w:rsid w:val="002B598E"/>
    <w:rPr>
      <w:sz w:val="20"/>
      <w:szCs w:val="20"/>
    </w:rPr>
  </w:style>
  <w:style w:type="character" w:customStyle="1" w:styleId="FootnoteTextChar">
    <w:name w:val="Footnote Text Char"/>
    <w:basedOn w:val="DefaultParagraphFont"/>
    <w:link w:val="FootnoteText"/>
    <w:uiPriority w:val="99"/>
    <w:semiHidden/>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B598E"/>
    <w:rPr>
      <w:vertAlign w:val="superscript"/>
    </w:rPr>
  </w:style>
  <w:style w:type="paragraph" w:customStyle="1" w:styleId="paragraph">
    <w:name w:val="paragraph"/>
    <w:basedOn w:val="Normal"/>
    <w:rsid w:val="00A47379"/>
    <w:rPr>
      <w:lang w:eastAsia="en-AU"/>
    </w:rPr>
  </w:style>
  <w:style w:type="character" w:customStyle="1" w:styleId="normaltextrun1">
    <w:name w:val="normaltextrun1"/>
    <w:basedOn w:val="DefaultParagraphFont"/>
    <w:rsid w:val="00A47379"/>
  </w:style>
  <w:style w:type="character" w:customStyle="1" w:styleId="eop">
    <w:name w:val="eop"/>
    <w:basedOn w:val="DefaultParagraphFont"/>
    <w:rsid w:val="00A47379"/>
  </w:style>
  <w:style w:type="paragraph" w:customStyle="1" w:styleId="DraftHeading2">
    <w:name w:val="Draft Heading 2"/>
    <w:basedOn w:val="Normal"/>
    <w:next w:val="Normal"/>
    <w:link w:val="DraftHeading2Char"/>
    <w:rsid w:val="009A43E6"/>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9A43E6"/>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9A43E6"/>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link w:val="DraftHeading1Char"/>
    <w:rsid w:val="009A43E6"/>
    <w:pPr>
      <w:overflowPunct w:val="0"/>
      <w:autoSpaceDE w:val="0"/>
      <w:autoSpaceDN w:val="0"/>
      <w:adjustRightInd w:val="0"/>
      <w:spacing w:before="120"/>
      <w:textAlignment w:val="baseline"/>
      <w:outlineLvl w:val="2"/>
    </w:pPr>
    <w:rPr>
      <w:b/>
    </w:rPr>
  </w:style>
  <w:style w:type="character" w:customStyle="1" w:styleId="DraftHeading1Char">
    <w:name w:val="Draft Heading 1 Char"/>
    <w:basedOn w:val="DefaultParagraphFont"/>
    <w:link w:val="DraftHeading1"/>
    <w:locked/>
    <w:rsid w:val="009A43E6"/>
    <w:rPr>
      <w:rFonts w:ascii="Times New Roman" w:eastAsia="Times New Roman" w:hAnsi="Times New Roman" w:cs="Times New Roman"/>
      <w:b/>
      <w:lang w:val="en-AU"/>
    </w:rPr>
  </w:style>
  <w:style w:type="character" w:customStyle="1" w:styleId="DraftHeading2Char">
    <w:name w:val="Draft Heading 2 Char"/>
    <w:basedOn w:val="DefaultParagraphFont"/>
    <w:link w:val="DraftHeading2"/>
    <w:rsid w:val="009A43E6"/>
    <w:rPr>
      <w:rFonts w:ascii="Times New Roman" w:eastAsia="Times New Roman" w:hAnsi="Times New Roman" w:cs="Times New Roman"/>
      <w:szCs w:val="20"/>
      <w:lang w:val="en-AU"/>
    </w:rPr>
  </w:style>
  <w:style w:type="paragraph" w:customStyle="1" w:styleId="m-6825622569451543593msolistparagraph">
    <w:name w:val="m_-6825622569451543593msolistparagraph"/>
    <w:basedOn w:val="Normal"/>
    <w:rsid w:val="00BC13B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6126">
      <w:bodyDiv w:val="1"/>
      <w:marLeft w:val="0"/>
      <w:marRight w:val="0"/>
      <w:marTop w:val="0"/>
      <w:marBottom w:val="0"/>
      <w:divBdr>
        <w:top w:val="none" w:sz="0" w:space="0" w:color="auto"/>
        <w:left w:val="none" w:sz="0" w:space="0" w:color="auto"/>
        <w:bottom w:val="none" w:sz="0" w:space="0" w:color="auto"/>
        <w:right w:val="none" w:sz="0" w:space="0" w:color="auto"/>
      </w:divBdr>
    </w:div>
    <w:div w:id="1708988441">
      <w:bodyDiv w:val="1"/>
      <w:marLeft w:val="0"/>
      <w:marRight w:val="0"/>
      <w:marTop w:val="0"/>
      <w:marBottom w:val="0"/>
      <w:divBdr>
        <w:top w:val="none" w:sz="0" w:space="0" w:color="auto"/>
        <w:left w:val="none" w:sz="0" w:space="0" w:color="auto"/>
        <w:bottom w:val="none" w:sz="0" w:space="0" w:color="auto"/>
        <w:right w:val="none" w:sz="0" w:space="0" w:color="auto"/>
      </w:divBdr>
    </w:div>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26046662">
      <w:bodyDiv w:val="1"/>
      <w:marLeft w:val="0"/>
      <w:marRight w:val="0"/>
      <w:marTop w:val="0"/>
      <w:marBottom w:val="0"/>
      <w:divBdr>
        <w:top w:val="none" w:sz="0" w:space="0" w:color="auto"/>
        <w:left w:val="none" w:sz="0" w:space="0" w:color="auto"/>
        <w:bottom w:val="none" w:sz="0" w:space="0" w:color="auto"/>
        <w:right w:val="none" w:sz="0" w:space="0" w:color="auto"/>
      </w:divBdr>
    </w:div>
    <w:div w:id="1945846732">
      <w:bodyDiv w:val="1"/>
      <w:marLeft w:val="0"/>
      <w:marRight w:val="0"/>
      <w:marTop w:val="0"/>
      <w:marBottom w:val="0"/>
      <w:divBdr>
        <w:top w:val="none" w:sz="0" w:space="0" w:color="auto"/>
        <w:left w:val="none" w:sz="0" w:space="0" w:color="auto"/>
        <w:bottom w:val="none" w:sz="0" w:space="0" w:color="auto"/>
        <w:right w:val="none" w:sz="0" w:space="0" w:color="auto"/>
      </w:divBdr>
      <w:divsChild>
        <w:div w:id="1639606125">
          <w:marLeft w:val="0"/>
          <w:marRight w:val="0"/>
          <w:marTop w:val="0"/>
          <w:marBottom w:val="0"/>
          <w:divBdr>
            <w:top w:val="none" w:sz="0" w:space="0" w:color="auto"/>
            <w:left w:val="none" w:sz="0" w:space="0" w:color="auto"/>
            <w:bottom w:val="none" w:sz="0" w:space="0" w:color="auto"/>
            <w:right w:val="none" w:sz="0" w:space="0" w:color="auto"/>
          </w:divBdr>
          <w:divsChild>
            <w:div w:id="1048803015">
              <w:marLeft w:val="0"/>
              <w:marRight w:val="0"/>
              <w:marTop w:val="0"/>
              <w:marBottom w:val="0"/>
              <w:divBdr>
                <w:top w:val="none" w:sz="0" w:space="0" w:color="auto"/>
                <w:left w:val="none" w:sz="0" w:space="0" w:color="auto"/>
                <w:bottom w:val="none" w:sz="0" w:space="0" w:color="auto"/>
                <w:right w:val="none" w:sz="0" w:space="0" w:color="auto"/>
              </w:divBdr>
              <w:divsChild>
                <w:div w:id="902329090">
                  <w:marLeft w:val="0"/>
                  <w:marRight w:val="0"/>
                  <w:marTop w:val="0"/>
                  <w:marBottom w:val="0"/>
                  <w:divBdr>
                    <w:top w:val="none" w:sz="0" w:space="0" w:color="auto"/>
                    <w:left w:val="none" w:sz="0" w:space="0" w:color="auto"/>
                    <w:bottom w:val="none" w:sz="0" w:space="0" w:color="auto"/>
                    <w:right w:val="none" w:sz="0" w:space="0" w:color="auto"/>
                  </w:divBdr>
                  <w:divsChild>
                    <w:div w:id="1274899688">
                      <w:marLeft w:val="0"/>
                      <w:marRight w:val="0"/>
                      <w:marTop w:val="0"/>
                      <w:marBottom w:val="0"/>
                      <w:divBdr>
                        <w:top w:val="none" w:sz="0" w:space="0" w:color="auto"/>
                        <w:left w:val="none" w:sz="0" w:space="0" w:color="auto"/>
                        <w:bottom w:val="none" w:sz="0" w:space="0" w:color="auto"/>
                        <w:right w:val="none" w:sz="0" w:space="0" w:color="auto"/>
                      </w:divBdr>
                      <w:divsChild>
                        <w:div w:id="1291088375">
                          <w:marLeft w:val="0"/>
                          <w:marRight w:val="0"/>
                          <w:marTop w:val="0"/>
                          <w:marBottom w:val="0"/>
                          <w:divBdr>
                            <w:top w:val="none" w:sz="0" w:space="0" w:color="auto"/>
                            <w:left w:val="none" w:sz="0" w:space="0" w:color="auto"/>
                            <w:bottom w:val="none" w:sz="0" w:space="0" w:color="auto"/>
                            <w:right w:val="none" w:sz="0" w:space="0" w:color="auto"/>
                          </w:divBdr>
                          <w:divsChild>
                            <w:div w:id="646783674">
                              <w:marLeft w:val="0"/>
                              <w:marRight w:val="0"/>
                              <w:marTop w:val="0"/>
                              <w:marBottom w:val="0"/>
                              <w:divBdr>
                                <w:top w:val="none" w:sz="0" w:space="0" w:color="auto"/>
                                <w:left w:val="none" w:sz="0" w:space="0" w:color="auto"/>
                                <w:bottom w:val="none" w:sz="0" w:space="0" w:color="auto"/>
                                <w:right w:val="none" w:sz="0" w:space="0" w:color="auto"/>
                              </w:divBdr>
                              <w:divsChild>
                                <w:div w:id="924073325">
                                  <w:marLeft w:val="0"/>
                                  <w:marRight w:val="0"/>
                                  <w:marTop w:val="0"/>
                                  <w:marBottom w:val="0"/>
                                  <w:divBdr>
                                    <w:top w:val="none" w:sz="0" w:space="0" w:color="auto"/>
                                    <w:left w:val="none" w:sz="0" w:space="0" w:color="auto"/>
                                    <w:bottom w:val="none" w:sz="0" w:space="0" w:color="auto"/>
                                    <w:right w:val="none" w:sz="0" w:space="0" w:color="auto"/>
                                  </w:divBdr>
                                  <w:divsChild>
                                    <w:div w:id="1849952221">
                                      <w:marLeft w:val="0"/>
                                      <w:marRight w:val="0"/>
                                      <w:marTop w:val="0"/>
                                      <w:marBottom w:val="0"/>
                                      <w:divBdr>
                                        <w:top w:val="none" w:sz="0" w:space="0" w:color="auto"/>
                                        <w:left w:val="none" w:sz="0" w:space="0" w:color="auto"/>
                                        <w:bottom w:val="none" w:sz="0" w:space="0" w:color="auto"/>
                                        <w:right w:val="none" w:sz="0" w:space="0" w:color="auto"/>
                                      </w:divBdr>
                                      <w:divsChild>
                                        <w:div w:id="1528375859">
                                          <w:marLeft w:val="0"/>
                                          <w:marRight w:val="0"/>
                                          <w:marTop w:val="0"/>
                                          <w:marBottom w:val="0"/>
                                          <w:divBdr>
                                            <w:top w:val="none" w:sz="0" w:space="0" w:color="auto"/>
                                            <w:left w:val="none" w:sz="0" w:space="0" w:color="auto"/>
                                            <w:bottom w:val="none" w:sz="0" w:space="0" w:color="auto"/>
                                            <w:right w:val="none" w:sz="0" w:space="0" w:color="auto"/>
                                          </w:divBdr>
                                          <w:divsChild>
                                            <w:div w:id="97217446">
                                              <w:marLeft w:val="0"/>
                                              <w:marRight w:val="0"/>
                                              <w:marTop w:val="0"/>
                                              <w:marBottom w:val="0"/>
                                              <w:divBdr>
                                                <w:top w:val="none" w:sz="0" w:space="0" w:color="auto"/>
                                                <w:left w:val="none" w:sz="0" w:space="0" w:color="auto"/>
                                                <w:bottom w:val="none" w:sz="0" w:space="0" w:color="auto"/>
                                                <w:right w:val="none" w:sz="0" w:space="0" w:color="auto"/>
                                              </w:divBdr>
                                              <w:divsChild>
                                                <w:div w:id="651761762">
                                                  <w:marLeft w:val="0"/>
                                                  <w:marRight w:val="0"/>
                                                  <w:marTop w:val="0"/>
                                                  <w:marBottom w:val="0"/>
                                                  <w:divBdr>
                                                    <w:top w:val="none" w:sz="0" w:space="0" w:color="auto"/>
                                                    <w:left w:val="none" w:sz="0" w:space="0" w:color="auto"/>
                                                    <w:bottom w:val="none" w:sz="0" w:space="0" w:color="auto"/>
                                                    <w:right w:val="none" w:sz="0" w:space="0" w:color="auto"/>
                                                  </w:divBdr>
                                                  <w:divsChild>
                                                    <w:div w:id="1712531273">
                                                      <w:marLeft w:val="0"/>
                                                      <w:marRight w:val="0"/>
                                                      <w:marTop w:val="0"/>
                                                      <w:marBottom w:val="0"/>
                                                      <w:divBdr>
                                                        <w:top w:val="single" w:sz="6" w:space="0" w:color="ABABAB"/>
                                                        <w:left w:val="single" w:sz="6" w:space="0" w:color="ABABAB"/>
                                                        <w:bottom w:val="none" w:sz="0" w:space="0" w:color="auto"/>
                                                        <w:right w:val="single" w:sz="6" w:space="0" w:color="ABABAB"/>
                                                      </w:divBdr>
                                                      <w:divsChild>
                                                        <w:div w:id="651644069">
                                                          <w:marLeft w:val="0"/>
                                                          <w:marRight w:val="0"/>
                                                          <w:marTop w:val="0"/>
                                                          <w:marBottom w:val="0"/>
                                                          <w:divBdr>
                                                            <w:top w:val="none" w:sz="0" w:space="0" w:color="auto"/>
                                                            <w:left w:val="none" w:sz="0" w:space="0" w:color="auto"/>
                                                            <w:bottom w:val="none" w:sz="0" w:space="0" w:color="auto"/>
                                                            <w:right w:val="none" w:sz="0" w:space="0" w:color="auto"/>
                                                          </w:divBdr>
                                                          <w:divsChild>
                                                            <w:div w:id="1472746279">
                                                              <w:marLeft w:val="0"/>
                                                              <w:marRight w:val="0"/>
                                                              <w:marTop w:val="0"/>
                                                              <w:marBottom w:val="0"/>
                                                              <w:divBdr>
                                                                <w:top w:val="none" w:sz="0" w:space="0" w:color="auto"/>
                                                                <w:left w:val="none" w:sz="0" w:space="0" w:color="auto"/>
                                                                <w:bottom w:val="none" w:sz="0" w:space="0" w:color="auto"/>
                                                                <w:right w:val="none" w:sz="0" w:space="0" w:color="auto"/>
                                                              </w:divBdr>
                                                              <w:divsChild>
                                                                <w:div w:id="1928923662">
                                                                  <w:marLeft w:val="0"/>
                                                                  <w:marRight w:val="0"/>
                                                                  <w:marTop w:val="0"/>
                                                                  <w:marBottom w:val="0"/>
                                                                  <w:divBdr>
                                                                    <w:top w:val="none" w:sz="0" w:space="0" w:color="auto"/>
                                                                    <w:left w:val="none" w:sz="0" w:space="0" w:color="auto"/>
                                                                    <w:bottom w:val="none" w:sz="0" w:space="0" w:color="auto"/>
                                                                    <w:right w:val="none" w:sz="0" w:space="0" w:color="auto"/>
                                                                  </w:divBdr>
                                                                  <w:divsChild>
                                                                    <w:div w:id="521474936">
                                                                      <w:marLeft w:val="0"/>
                                                                      <w:marRight w:val="0"/>
                                                                      <w:marTop w:val="0"/>
                                                                      <w:marBottom w:val="0"/>
                                                                      <w:divBdr>
                                                                        <w:top w:val="none" w:sz="0" w:space="0" w:color="auto"/>
                                                                        <w:left w:val="none" w:sz="0" w:space="0" w:color="auto"/>
                                                                        <w:bottom w:val="none" w:sz="0" w:space="0" w:color="auto"/>
                                                                        <w:right w:val="none" w:sz="0" w:space="0" w:color="auto"/>
                                                                      </w:divBdr>
                                                                      <w:divsChild>
                                                                        <w:div w:id="1470902296">
                                                                          <w:marLeft w:val="0"/>
                                                                          <w:marRight w:val="0"/>
                                                                          <w:marTop w:val="0"/>
                                                                          <w:marBottom w:val="0"/>
                                                                          <w:divBdr>
                                                                            <w:top w:val="none" w:sz="0" w:space="0" w:color="auto"/>
                                                                            <w:left w:val="none" w:sz="0" w:space="0" w:color="auto"/>
                                                                            <w:bottom w:val="none" w:sz="0" w:space="0" w:color="auto"/>
                                                                            <w:right w:val="none" w:sz="0" w:space="0" w:color="auto"/>
                                                                          </w:divBdr>
                                                                          <w:divsChild>
                                                                            <w:div w:id="1450278222">
                                                                              <w:marLeft w:val="0"/>
                                                                              <w:marRight w:val="0"/>
                                                                              <w:marTop w:val="0"/>
                                                                              <w:marBottom w:val="0"/>
                                                                              <w:divBdr>
                                                                                <w:top w:val="none" w:sz="0" w:space="0" w:color="auto"/>
                                                                                <w:left w:val="none" w:sz="0" w:space="0" w:color="auto"/>
                                                                                <w:bottom w:val="none" w:sz="0" w:space="0" w:color="auto"/>
                                                                                <w:right w:val="none" w:sz="0" w:space="0" w:color="auto"/>
                                                                              </w:divBdr>
                                                                              <w:divsChild>
                                                                                <w:div w:id="1879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5E0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ublic Submission" ma:contentTypeID="0x0101002517F445A0F35E449C98AAD631F2B0385E0700A2139AB9036E604FB912A5DB7AD5BEBE" ma:contentTypeVersion="15" ma:contentTypeDescription="A document prepared by a member of the public, including organised groups, that is formally submitted to government or an independent body working to advise government." ma:contentTypeScope="" ma:versionID="5601f0ab8b38563ab5e03de758f25ce7">
  <xsd:schema xmlns:xsd="http://www.w3.org/2001/XMLSchema" xmlns:xs="http://www.w3.org/2001/XMLSchema" xmlns:p="http://schemas.microsoft.com/office/2006/metadata/properties" xmlns:ns1="a5f32de4-e402-4188-b034-e71ca7d22e54" xmlns:ns2="http://schemas.microsoft.com/sharepoint/v3" xmlns:ns3="9fd47c19-1c4a-4d7d-b342-c10cef269344" xmlns:ns4="abadb107-d1c5-46a8-bec8-fd2b5984657a" xmlns:ns5="c42f9c80-6326-4d3e-8624-f1221488f056" targetNamespace="http://schemas.microsoft.com/office/2006/metadata/properties" ma:root="true" ma:fieldsID="4e3db3ee21d206f90cae1fb8fe1b90c8" ns1:_="" ns2:_="" ns3:_="" ns4:_="" ns5:_="">
    <xsd:import namespace="a5f32de4-e402-4188-b034-e71ca7d22e54"/>
    <xsd:import namespace="http://schemas.microsoft.com/sharepoint/v3"/>
    <xsd:import namespace="9fd47c19-1c4a-4d7d-b342-c10cef269344"/>
    <xsd:import namespace="abadb107-d1c5-46a8-bec8-fd2b5984657a"/>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Originating_x0020_Author" minOccurs="0"/>
                <xsd:element ref="ns2:Language"/>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k1bd994a94c2413797db3bab8f123f6f" minOccurs="0"/>
                <xsd:element ref="ns3:a25c4e3633654d669cbaa09ae6b70789" minOccurs="0"/>
                <xsd:element ref="ns4:Registration" minOccurs="0"/>
                <xsd:element ref="ns3:fc01d91d9ac346658516d76592d70065" minOccurs="0"/>
                <xsd:element ref="ns4:Matter" minOccurs="0"/>
                <xsd:element ref="ns4:Registration_x0020_Resource" minOccurs="0"/>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Originating_x0020_Author" ma:index="7"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6"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1"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3"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fc01d91d9ac346658516d76592d70065" ma:index="35"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db107-d1c5-46a8-bec8-fd2b5984657a" elementFormDefault="qualified">
    <xsd:import namespace="http://schemas.microsoft.com/office/2006/documentManagement/types"/>
    <xsd:import namespace="http://schemas.microsoft.com/office/infopath/2007/PartnerControls"/>
    <xsd:element name="Registration" ma:index="34" nillable="true" ma:displayName="Registration" ma:default="Nomination" ma:format="Dropdown" ma:internalName="Registration">
      <xsd:simpleType>
        <xsd:restriction base="dms:Choice">
          <xsd:enumeration value="Nomination"/>
          <xsd:enumeration value="Refusal"/>
          <xsd:enumeration value="Review"/>
        </xsd:restriction>
      </xsd:simpleType>
    </xsd:element>
    <xsd:element name="Matter" ma:index="37" nillable="true" ma:displayName="Matter" ma:internalName="Matter">
      <xsd:simpleType>
        <xsd:restriction base="dms:Text">
          <xsd:maxLength value="255"/>
        </xsd:restriction>
      </xsd:simpleType>
    </xsd:element>
    <xsd:element name="Registration_x0020_Resource" ma:index="38" nillable="true" ma:displayName="Registration Resource" ma:format="Dropdown" ma:internalName="Registration_x0020_Resource">
      <xsd:simpleType>
        <xsd:restriction base="dms:Choice">
          <xsd:enumeration value="ED recommendation"/>
          <xsd:enumeration value="Notice of refusal"/>
          <xsd:enumeration value="Notification"/>
          <xsd:enumeration value="S44 submission"/>
          <xsd:enumeration value="Review Request"/>
          <xsd:enumeration value="Hearing submission"/>
          <xsd:enumeration value="Submission in reply"/>
          <xsd:enumeration value="Correspondence in"/>
          <xsd:enumeration value="Correspondence out"/>
          <xsd:enumeration value="RFI"/>
          <xsd:enumeration value="Decision"/>
          <xsd:enumeration value="Adjournment request"/>
          <xsd:enumeration value="Fee received"/>
          <xsd:enumeration value="Admin"/>
          <xsd:enumeration value="Ministerial Call in"/>
        </xsd:restriction>
      </xsd:simpleType>
    </xsd:element>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_dlc_DocId xmlns="a5f32de4-e402-4188-b034-e71ca7d22e54">DOCID357-1224505051-632</_dlc_DocI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7</Value>
      <Value>6</Value>
      <Value>5</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Url xmlns="a5f32de4-e402-4188-b034-e71ca7d22e54">
      <Url>https://delwpvicgovau.sharepoint.com/sites/ecm_357/_layouts/15/DocIdRedir.aspx?ID=DOCID357-1224505051-632</Url>
      <Description>DOCID357-1224505051-632</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Language xmlns="http://schemas.microsoft.com/sharepoint/v3">English</Language>
    <Originating_x0020_Author xmlns="a5f32de4-e402-4188-b034-e71ca7d22e54" xsi:nil="true"/>
    <Registration xmlns="abadb107-d1c5-46a8-bec8-fd2b5984657a">Nomination</Registration>
    <fc01d91d9ac346658516d76592d70065 xmlns="9fd47c19-1c4a-4d7d-b342-c10cef269344">
      <Terms xmlns="http://schemas.microsoft.com/office/infopath/2007/PartnerControls"/>
    </fc01d91d9ac346658516d76592d70065>
    <Matter xmlns="abadb107-d1c5-46a8-bec8-fd2b5984657a">REGISTRATION HEARING: The Former Donaghy's Rope Walk Buliding and Rope Making Machinery, 95-103 Pakington Street and 9 Scarlett Street, Geelong West, Greater Geelong, VHR H1169 HERMES#4819, Event No. H8507</Matter>
    <Registration_x0020_Resource xmlns="abadb107-d1c5-46a8-bec8-fd2b5984657a">Decision</Registration_x0020_Resource>
    <Date_x0020_Of_x0020_Original xmlns="a5f32de4-e402-4188-b034-e71ca7d22e54" xsi:nil="true"/>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C957-1901-43D1-B609-67166EE1B2CC}">
  <ds:schemaRefs>
    <ds:schemaRef ds:uri="Microsoft.SharePoint.Taxonomy.ContentTypeSync"/>
  </ds:schemaRefs>
</ds:datastoreItem>
</file>

<file path=customXml/itemProps2.xml><?xml version="1.0" encoding="utf-8"?>
<ds:datastoreItem xmlns:ds="http://schemas.openxmlformats.org/officeDocument/2006/customXml" ds:itemID="{300FEF8B-686F-4273-B2F2-7A1D7FC779A7}">
  <ds:schemaRefs>
    <ds:schemaRef ds:uri="http://schemas.microsoft.com/sharepoint/events"/>
  </ds:schemaRefs>
</ds:datastoreItem>
</file>

<file path=customXml/itemProps3.xml><?xml version="1.0" encoding="utf-8"?>
<ds:datastoreItem xmlns:ds="http://schemas.openxmlformats.org/officeDocument/2006/customXml" ds:itemID="{B3FB19CB-6527-463C-BDAA-892FCAC8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abadb107-d1c5-46a8-bec8-fd2b5984657a"/>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5.xml><?xml version="1.0" encoding="utf-8"?>
<ds:datastoreItem xmlns:ds="http://schemas.openxmlformats.org/officeDocument/2006/customXml" ds:itemID="{442EEA9E-AA55-4AE7-8FAD-A46AAF97BA89}">
  <ds:schemaRefs>
    <ds:schemaRef ds:uri="http://schemas.microsoft.com/office/2006/metadata/customXsn"/>
  </ds:schemaRefs>
</ds:datastoreItem>
</file>

<file path=customXml/itemProps6.xml><?xml version="1.0" encoding="utf-8"?>
<ds:datastoreItem xmlns:ds="http://schemas.openxmlformats.org/officeDocument/2006/customXml" ds:itemID="{15D9F1E1-7531-4625-9BB8-80BFB5A04AF5}">
  <ds:schemaRefs>
    <ds:schemaRef ds:uri="http://purl.org/dc/terms/"/>
    <ds:schemaRef ds:uri="http://schemas.openxmlformats.org/package/2006/metadata/core-properties"/>
    <ds:schemaRef ds:uri="http://schemas.microsoft.com/office/2006/documentManagement/types"/>
    <ds:schemaRef ds:uri="c42f9c80-6326-4d3e-8624-f1221488f056"/>
    <ds:schemaRef ds:uri="a5f32de4-e402-4188-b034-e71ca7d22e54"/>
    <ds:schemaRef ds:uri="http://purl.org/dc/elements/1.1/"/>
    <ds:schemaRef ds:uri="http://schemas.microsoft.com/office/2006/metadata/properties"/>
    <ds:schemaRef ds:uri="http://schemas.microsoft.com/office/infopath/2007/PartnerControls"/>
    <ds:schemaRef ds:uri="abadb107-d1c5-46a8-bec8-fd2b5984657a"/>
    <ds:schemaRef ds:uri="http://schemas.microsoft.com/sharepoint/v3"/>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9C96E2BD-6943-41CE-89E6-74837606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9498</Words>
  <Characters>54143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Determination - Donaghy's</vt:lpstr>
    </vt:vector>
  </TitlesOfParts>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 Donaghy's</dc:title>
  <dc:subject/>
  <dc:creator>Bethany K Sproal (DELWP)</dc:creator>
  <cp:keywords/>
  <dc:description/>
  <cp:lastModifiedBy>Charlotte March (DELWP)</cp:lastModifiedBy>
  <cp:revision>3</cp:revision>
  <cp:lastPrinted>2019-06-28T02:24:00Z</cp:lastPrinted>
  <dcterms:created xsi:type="dcterms:W3CDTF">2019-06-28T02:24:00Z</dcterms:created>
  <dcterms:modified xsi:type="dcterms:W3CDTF">2019-06-28T02:24:00Z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622944cd-1ff7-445e-be55-7708453ab9ef</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
  </property>
  <property fmtid="{D5CDD505-2E9C-101B-9397-08002B2CF9AE}" pid="12" name="Order">
    <vt:r8>63200</vt:r8>
  </property>
  <property fmtid="{D5CDD505-2E9C-101B-9397-08002B2CF9AE}" pid="13" name="ContentTypeId">
    <vt:lpwstr>0x0101002517F445A0F35E449C98AAD631F2B0385E0700A2139AB9036E604FB912A5DB7AD5BEBE</vt:lpwstr>
  </property>
</Properties>
</file>