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E2" w:rsidRPr="00E338AB" w:rsidRDefault="00040AE2" w:rsidP="00040AE2">
      <w:pPr>
        <w:rPr>
          <w:b/>
        </w:rPr>
      </w:pPr>
    </w:p>
    <w:p w:rsidR="00040AE2" w:rsidRPr="00E338AB" w:rsidRDefault="00EA3647" w:rsidP="00040AE2">
      <w:pPr>
        <w:jc w:val="right"/>
        <w:rPr>
          <w:b/>
        </w:rPr>
      </w:pPr>
      <w:r>
        <w:rPr>
          <w:noProof/>
          <w:lang w:eastAsia="en-AU"/>
        </w:rPr>
        <w:drawing>
          <wp:inline distT="0" distB="0" distL="0" distR="0">
            <wp:extent cx="847725" cy="857250"/>
            <wp:effectExtent l="1905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8D46D3" w:rsidRDefault="008D46D3" w:rsidP="00040AE2">
      <w:pPr>
        <w:keepNext/>
        <w:autoSpaceDE w:val="0"/>
        <w:autoSpaceDN w:val="0"/>
        <w:adjustRightInd w:val="0"/>
        <w:spacing w:line="240" w:lineRule="atLeast"/>
        <w:rPr>
          <w:lang w:eastAsia="en-AU"/>
        </w:rPr>
      </w:pPr>
    </w:p>
    <w:p w:rsidR="00040AE2" w:rsidRPr="00647C12" w:rsidRDefault="002D1EFB" w:rsidP="00040AE2">
      <w:pPr>
        <w:keepNext/>
        <w:autoSpaceDE w:val="0"/>
        <w:autoSpaceDN w:val="0"/>
        <w:adjustRightInd w:val="0"/>
        <w:spacing w:line="240" w:lineRule="atLeast"/>
        <w:rPr>
          <w:lang w:eastAsia="en-AU"/>
        </w:rPr>
      </w:pPr>
      <w:r>
        <w:rPr>
          <w:lang w:eastAsia="en-AU"/>
        </w:rPr>
        <w:t xml:space="preserve">Permit Appeal </w:t>
      </w:r>
      <w:r w:rsidR="006019E5">
        <w:rPr>
          <w:lang w:eastAsia="en-AU"/>
        </w:rPr>
        <w:t>P</w:t>
      </w:r>
      <w:r>
        <w:rPr>
          <w:lang w:eastAsia="en-AU"/>
        </w:rPr>
        <w:t>19950</w:t>
      </w:r>
    </w:p>
    <w:p w:rsidR="00040AE2" w:rsidRDefault="00040AE2" w:rsidP="00040AE2">
      <w:pPr>
        <w:rPr>
          <w:b/>
        </w:rPr>
      </w:pPr>
    </w:p>
    <w:p w:rsidR="00040AE2" w:rsidRPr="00E338AB" w:rsidRDefault="00040AE2" w:rsidP="00040AE2">
      <w:pPr>
        <w:rPr>
          <w:b/>
        </w:rPr>
      </w:pPr>
    </w:p>
    <w:p w:rsidR="009573AA" w:rsidRDefault="002D1EFB" w:rsidP="00040AE2">
      <w:pPr>
        <w:autoSpaceDE w:val="0"/>
        <w:autoSpaceDN w:val="0"/>
        <w:adjustRightInd w:val="0"/>
        <w:spacing w:line="240" w:lineRule="atLeast"/>
        <w:rPr>
          <w:b/>
          <w:bCs/>
          <w:lang w:eastAsia="en-AU"/>
        </w:rPr>
      </w:pPr>
      <w:r>
        <w:rPr>
          <w:b/>
          <w:bCs/>
          <w:lang w:eastAsia="en-AU"/>
        </w:rPr>
        <w:t>Winter Park Cluster Housing (H1345)</w:t>
      </w:r>
    </w:p>
    <w:p w:rsidR="009573AA" w:rsidRPr="00647C12" w:rsidRDefault="009573AA" w:rsidP="009573AA">
      <w:pPr>
        <w:autoSpaceDE w:val="0"/>
        <w:autoSpaceDN w:val="0"/>
        <w:adjustRightInd w:val="0"/>
        <w:spacing w:line="240" w:lineRule="atLeast"/>
        <w:rPr>
          <w:b/>
          <w:bCs/>
          <w:lang w:eastAsia="en-AU"/>
        </w:rPr>
      </w:pPr>
      <w:r>
        <w:rPr>
          <w:b/>
          <w:bCs/>
          <w:lang w:eastAsia="en-AU"/>
        </w:rPr>
        <w:t>137-149 High Street a</w:t>
      </w:r>
      <w:r w:rsidRPr="009573AA">
        <w:rPr>
          <w:b/>
          <w:bCs/>
          <w:lang w:eastAsia="en-AU"/>
        </w:rPr>
        <w:t>nd 6-17 Timber Ridge</w:t>
      </w:r>
      <w:r>
        <w:rPr>
          <w:b/>
          <w:bCs/>
          <w:lang w:eastAsia="en-AU"/>
        </w:rPr>
        <w:t>,</w:t>
      </w:r>
      <w:r w:rsidRPr="009573AA">
        <w:rPr>
          <w:b/>
          <w:bCs/>
          <w:lang w:eastAsia="en-AU"/>
        </w:rPr>
        <w:t xml:space="preserve"> Doncaster</w:t>
      </w:r>
    </w:p>
    <w:p w:rsidR="00040AE2" w:rsidRPr="00A17018" w:rsidRDefault="002D1EFB" w:rsidP="00040AE2">
      <w:pPr>
        <w:autoSpaceDE w:val="0"/>
        <w:autoSpaceDN w:val="0"/>
        <w:adjustRightInd w:val="0"/>
        <w:spacing w:line="240" w:lineRule="atLeast"/>
        <w:rPr>
          <w:b/>
          <w:bCs/>
          <w:lang w:eastAsia="en-AU"/>
        </w:rPr>
      </w:pPr>
      <w:r>
        <w:rPr>
          <w:b/>
          <w:bCs/>
          <w:lang w:eastAsia="en-AU"/>
        </w:rPr>
        <w:t xml:space="preserve">Permit number </w:t>
      </w:r>
      <w:r w:rsidRPr="002D1EFB">
        <w:rPr>
          <w:b/>
          <w:lang w:eastAsia="en-AU"/>
        </w:rPr>
        <w:t>P18148</w:t>
      </w:r>
      <w:r w:rsidR="009573AA">
        <w:rPr>
          <w:b/>
          <w:lang w:eastAsia="en-AU"/>
        </w:rPr>
        <w:t xml:space="preserve"> - </w:t>
      </w:r>
      <w:r w:rsidR="009573AA">
        <w:rPr>
          <w:b/>
          <w:bCs/>
          <w:lang w:eastAsia="en-AU"/>
        </w:rPr>
        <w:t>147 High Street</w:t>
      </w:r>
    </w:p>
    <w:p w:rsidR="00040AE2" w:rsidRPr="00647C12" w:rsidRDefault="00040AE2" w:rsidP="00040AE2">
      <w:pPr>
        <w:autoSpaceDE w:val="0"/>
        <w:autoSpaceDN w:val="0"/>
        <w:adjustRightInd w:val="0"/>
        <w:spacing w:after="120" w:line="240" w:lineRule="atLeast"/>
        <w:jc w:val="both"/>
        <w:rPr>
          <w:lang w:eastAsia="en-AU"/>
        </w:rPr>
      </w:pPr>
    </w:p>
    <w:p w:rsidR="00040AE2" w:rsidRPr="00647C12" w:rsidRDefault="00040AE2" w:rsidP="00040AE2">
      <w:pPr>
        <w:autoSpaceDE w:val="0"/>
        <w:autoSpaceDN w:val="0"/>
        <w:adjustRightInd w:val="0"/>
        <w:spacing w:line="240" w:lineRule="atLeast"/>
        <w:rPr>
          <w:b/>
          <w:bCs/>
          <w:lang w:eastAsia="en-AU"/>
        </w:rPr>
      </w:pPr>
      <w:r w:rsidRPr="00647C12">
        <w:rPr>
          <w:b/>
          <w:bCs/>
          <w:lang w:eastAsia="en-AU"/>
        </w:rPr>
        <w:t>Heritage Council Permits Committee</w:t>
      </w:r>
    </w:p>
    <w:p w:rsidR="00040AE2" w:rsidRPr="00647C12" w:rsidRDefault="003746E3" w:rsidP="00040AE2">
      <w:pPr>
        <w:autoSpaceDE w:val="0"/>
        <w:autoSpaceDN w:val="0"/>
        <w:adjustRightInd w:val="0"/>
        <w:spacing w:line="240" w:lineRule="atLeast"/>
        <w:rPr>
          <w:b/>
          <w:bCs/>
          <w:lang w:eastAsia="en-AU"/>
        </w:rPr>
      </w:pPr>
      <w:r>
        <w:rPr>
          <w:b/>
          <w:bCs/>
          <w:lang w:eastAsia="en-AU"/>
        </w:rPr>
        <w:t>Meeting</w:t>
      </w:r>
      <w:r w:rsidR="00040AE2" w:rsidRPr="00647C12">
        <w:rPr>
          <w:b/>
          <w:bCs/>
          <w:lang w:eastAsia="en-AU"/>
        </w:rPr>
        <w:t xml:space="preserve"> – </w:t>
      </w:r>
      <w:r w:rsidR="009573AA">
        <w:rPr>
          <w:b/>
          <w:bCs/>
          <w:lang w:eastAsia="en-AU"/>
        </w:rPr>
        <w:t>16 August 2013</w:t>
      </w:r>
    </w:p>
    <w:p w:rsidR="00040AE2" w:rsidRPr="00647C12" w:rsidRDefault="00040AE2" w:rsidP="00040AE2">
      <w:pPr>
        <w:autoSpaceDE w:val="0"/>
        <w:autoSpaceDN w:val="0"/>
        <w:adjustRightInd w:val="0"/>
        <w:spacing w:line="240" w:lineRule="atLeast"/>
        <w:rPr>
          <w:b/>
          <w:bCs/>
          <w:lang w:eastAsia="en-AU"/>
        </w:rPr>
      </w:pPr>
      <w:r w:rsidRPr="00647C12">
        <w:rPr>
          <w:b/>
          <w:bCs/>
          <w:lang w:eastAsia="en-AU"/>
        </w:rPr>
        <w:t xml:space="preserve">Members – </w:t>
      </w:r>
      <w:r w:rsidR="009573AA">
        <w:rPr>
          <w:b/>
          <w:bCs/>
          <w:lang w:eastAsia="en-AU"/>
        </w:rPr>
        <w:t xml:space="preserve">Mr Robert Sands (Chair), Ms Emma Russell, Mr Peter </w:t>
      </w:r>
      <w:proofErr w:type="spellStart"/>
      <w:r w:rsidR="009573AA">
        <w:rPr>
          <w:b/>
          <w:bCs/>
          <w:lang w:eastAsia="en-AU"/>
        </w:rPr>
        <w:t>Sagar</w:t>
      </w:r>
      <w:proofErr w:type="spellEnd"/>
    </w:p>
    <w:p w:rsidR="00040AE2" w:rsidRPr="00647C12" w:rsidRDefault="00040AE2" w:rsidP="00040AE2">
      <w:pPr>
        <w:keepNext/>
        <w:autoSpaceDE w:val="0"/>
        <w:autoSpaceDN w:val="0"/>
        <w:adjustRightInd w:val="0"/>
        <w:spacing w:before="240" w:after="120" w:line="240" w:lineRule="atLeast"/>
        <w:rPr>
          <w:b/>
          <w:bCs/>
          <w:sz w:val="26"/>
          <w:szCs w:val="26"/>
          <w:lang w:eastAsia="en-AU"/>
        </w:rPr>
      </w:pPr>
      <w:r w:rsidRPr="00647C12">
        <w:rPr>
          <w:b/>
          <w:bCs/>
          <w:sz w:val="26"/>
          <w:szCs w:val="26"/>
          <w:lang w:eastAsia="en-AU"/>
        </w:rPr>
        <w:t xml:space="preserve">Decision of the Heritage Council </w:t>
      </w:r>
    </w:p>
    <w:p w:rsidR="00040AE2" w:rsidRDefault="00040AE2" w:rsidP="00040AE2">
      <w:pPr>
        <w:spacing w:before="120"/>
        <w:rPr>
          <w:i/>
          <w:iCs/>
          <w:lang w:eastAsia="en-AU"/>
        </w:rPr>
      </w:pPr>
      <w:r w:rsidRPr="00010AD0">
        <w:rPr>
          <w:bCs/>
          <w:lang w:eastAsia="en-AU"/>
        </w:rPr>
        <w:t>A</w:t>
      </w:r>
      <w:r w:rsidR="0068223E">
        <w:rPr>
          <w:iCs/>
          <w:lang w:eastAsia="en-AU"/>
        </w:rPr>
        <w:t>fter considering the appeal</w:t>
      </w:r>
      <w:r w:rsidRPr="00010AD0">
        <w:rPr>
          <w:iCs/>
          <w:lang w:eastAsia="en-AU"/>
        </w:rPr>
        <w:t>, p</w:t>
      </w:r>
      <w:r w:rsidRPr="00010AD0">
        <w:rPr>
          <w:bCs/>
          <w:lang w:eastAsia="en-AU"/>
        </w:rPr>
        <w:t>ursuant to Section 76(4</w:t>
      </w:r>
      <w:proofErr w:type="gramStart"/>
      <w:r>
        <w:rPr>
          <w:bCs/>
          <w:lang w:eastAsia="en-AU"/>
        </w:rPr>
        <w:t>)</w:t>
      </w:r>
      <w:r w:rsidRPr="00010AD0">
        <w:rPr>
          <w:bCs/>
          <w:lang w:eastAsia="en-AU"/>
        </w:rPr>
        <w:t>(</w:t>
      </w:r>
      <w:proofErr w:type="gramEnd"/>
      <w:r w:rsidRPr="00010AD0">
        <w:rPr>
          <w:bCs/>
          <w:lang w:eastAsia="en-AU"/>
        </w:rPr>
        <w:t xml:space="preserve">b) of the </w:t>
      </w:r>
      <w:r w:rsidRPr="006A3B29">
        <w:rPr>
          <w:bCs/>
          <w:i/>
          <w:lang w:eastAsia="en-AU"/>
        </w:rPr>
        <w:t>Heritage Act</w:t>
      </w:r>
      <w:r w:rsidRPr="006A3B29">
        <w:rPr>
          <w:i/>
          <w:iCs/>
          <w:lang w:eastAsia="en-AU"/>
        </w:rPr>
        <w:t xml:space="preserve"> 1995</w:t>
      </w:r>
      <w:r w:rsidRPr="00010AD0">
        <w:rPr>
          <w:iCs/>
          <w:lang w:eastAsia="en-AU"/>
        </w:rPr>
        <w:t xml:space="preserve"> the Heritage Council determines to confirm the decision of the Executive Director</w:t>
      </w:r>
      <w:r w:rsidR="006D105A">
        <w:rPr>
          <w:iCs/>
          <w:lang w:eastAsia="en-AU"/>
        </w:rPr>
        <w:t xml:space="preserve"> and refuse the permit application</w:t>
      </w:r>
      <w:r w:rsidRPr="00647C12">
        <w:rPr>
          <w:i/>
          <w:iCs/>
          <w:lang w:eastAsia="en-AU"/>
        </w:rPr>
        <w:t>.</w:t>
      </w:r>
    </w:p>
    <w:p w:rsidR="00983346" w:rsidRDefault="00983346" w:rsidP="00983346">
      <w:pPr>
        <w:spacing w:before="120"/>
      </w:pPr>
      <w:r>
        <w:rPr>
          <w:i/>
          <w:iCs/>
          <w:noProof/>
          <w:lang w:eastAsia="en-AU"/>
        </w:rPr>
        <w:drawing>
          <wp:inline distT="0" distB="0" distL="0" distR="0">
            <wp:extent cx="1607820" cy="571500"/>
            <wp:effectExtent l="19050" t="0" r="0" b="0"/>
            <wp:docPr id="3" name="Picture 1" descr="\\P00390\dmnfsl1\DOC-CENTRAL\1575731\1\DOC-CENTRAL_n1575731_v1_Robert_S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390\dmnfsl1\DOC-CENTRAL\1575731\1\DOC-CENTRAL_n1575731_v1_Robert_Sands.jpg"/>
                    <pic:cNvPicPr>
                      <a:picLocks noChangeAspect="1" noChangeArrowheads="1"/>
                    </pic:cNvPicPr>
                  </pic:nvPicPr>
                  <pic:blipFill>
                    <a:blip r:embed="rId9"/>
                    <a:srcRect/>
                    <a:stretch>
                      <a:fillRect/>
                    </a:stretch>
                  </pic:blipFill>
                  <pic:spPr bwMode="auto">
                    <a:xfrm>
                      <a:off x="0" y="0"/>
                      <a:ext cx="1607820" cy="571500"/>
                    </a:xfrm>
                    <a:prstGeom prst="rect">
                      <a:avLst/>
                    </a:prstGeom>
                    <a:noFill/>
                    <a:ln w="9525">
                      <a:noFill/>
                      <a:miter lim="800000"/>
                      <a:headEnd/>
                      <a:tailEnd/>
                    </a:ln>
                  </pic:spPr>
                </pic:pic>
              </a:graphicData>
            </a:graphic>
          </wp:inline>
        </w:drawing>
      </w:r>
      <w:r>
        <w:rPr>
          <w:noProof/>
          <w:lang w:eastAsia="en-AU"/>
        </w:rPr>
        <w:drawing>
          <wp:inline distT="0" distB="0" distL="0" distR="0">
            <wp:extent cx="1798320" cy="1144973"/>
            <wp:effectExtent l="19050" t="0" r="0" b="0"/>
            <wp:docPr id="4" name="Picture 2" descr="\\P00389\dmnfsl1\DOC-CENTRAL\1617067\1\DOC-CENTRAL_n1617067_v1_Emma_Rus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389\dmnfsl1\DOC-CENTRAL\1617067\1\DOC-CENTRAL_n1617067_v1_Emma_Russell.jpg"/>
                    <pic:cNvPicPr>
                      <a:picLocks noChangeAspect="1" noChangeArrowheads="1"/>
                    </pic:cNvPicPr>
                  </pic:nvPicPr>
                  <pic:blipFill>
                    <a:blip r:embed="rId10"/>
                    <a:srcRect/>
                    <a:stretch>
                      <a:fillRect/>
                    </a:stretch>
                  </pic:blipFill>
                  <pic:spPr bwMode="auto">
                    <a:xfrm>
                      <a:off x="0" y="0"/>
                      <a:ext cx="1801560" cy="1147036"/>
                    </a:xfrm>
                    <a:prstGeom prst="rect">
                      <a:avLst/>
                    </a:prstGeom>
                    <a:noFill/>
                    <a:ln w="9525">
                      <a:noFill/>
                      <a:miter lim="800000"/>
                      <a:headEnd/>
                      <a:tailEnd/>
                    </a:ln>
                  </pic:spPr>
                </pic:pic>
              </a:graphicData>
            </a:graphic>
          </wp:inline>
        </w:drawing>
      </w:r>
      <w:r w:rsidR="000A3370">
        <w:t xml:space="preserve">         </w:t>
      </w:r>
      <w:r w:rsidR="000A3370">
        <w:rPr>
          <w:noProof/>
          <w:lang w:eastAsia="en-AU"/>
        </w:rPr>
        <w:drawing>
          <wp:inline distT="0" distB="0" distL="0" distR="0">
            <wp:extent cx="1565910" cy="968679"/>
            <wp:effectExtent l="19050" t="0" r="0" b="0"/>
            <wp:docPr id="5" name="Picture 1" descr="\\P00388.internal.vic.gov.au\DMNFSL1\DOC-CENTRAL\2540019\1\DOC-CENTRAL_n2540019_v1_Peter_Sa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388.internal.vic.gov.au\DMNFSL1\DOC-CENTRAL\2540019\1\DOC-CENTRAL_n2540019_v1_Peter_Sagar.jpg"/>
                    <pic:cNvPicPr>
                      <a:picLocks noChangeAspect="1" noChangeArrowheads="1"/>
                    </pic:cNvPicPr>
                  </pic:nvPicPr>
                  <pic:blipFill>
                    <a:blip r:embed="rId11"/>
                    <a:srcRect/>
                    <a:stretch>
                      <a:fillRect/>
                    </a:stretch>
                  </pic:blipFill>
                  <pic:spPr bwMode="auto">
                    <a:xfrm>
                      <a:off x="0" y="0"/>
                      <a:ext cx="1573372" cy="973295"/>
                    </a:xfrm>
                    <a:prstGeom prst="rect">
                      <a:avLst/>
                    </a:prstGeom>
                    <a:noFill/>
                    <a:ln w="9525">
                      <a:noFill/>
                      <a:miter lim="800000"/>
                      <a:headEnd/>
                      <a:tailEnd/>
                    </a:ln>
                  </pic:spPr>
                </pic:pic>
              </a:graphicData>
            </a:graphic>
          </wp:inline>
        </w:drawing>
      </w:r>
    </w:p>
    <w:p w:rsidR="00983346" w:rsidRPr="00647C12" w:rsidRDefault="00983346" w:rsidP="00983346">
      <w:pPr>
        <w:spacing w:before="120"/>
      </w:pPr>
    </w:p>
    <w:tbl>
      <w:tblPr>
        <w:tblW w:w="5000" w:type="pct"/>
        <w:tblLook w:val="01E0"/>
      </w:tblPr>
      <w:tblGrid>
        <w:gridCol w:w="2383"/>
        <w:gridCol w:w="652"/>
        <w:gridCol w:w="2447"/>
        <w:gridCol w:w="816"/>
        <w:gridCol w:w="2423"/>
      </w:tblGrid>
      <w:tr w:rsidR="00040AE2" w:rsidRPr="00647C12" w:rsidTr="00040AE2">
        <w:tc>
          <w:tcPr>
            <w:tcW w:w="1366" w:type="pct"/>
            <w:tcBorders>
              <w:top w:val="single" w:sz="4" w:space="0" w:color="auto"/>
            </w:tcBorders>
          </w:tcPr>
          <w:p w:rsidR="00040AE2" w:rsidRPr="00647C12" w:rsidRDefault="009573AA" w:rsidP="00040AE2">
            <w:pPr>
              <w:pStyle w:val="Permit1"/>
              <w:ind w:right="727"/>
              <w:rPr>
                <w:b/>
              </w:rPr>
            </w:pPr>
            <w:r>
              <w:rPr>
                <w:b/>
                <w:bCs/>
                <w:lang w:eastAsia="en-AU"/>
              </w:rPr>
              <w:t xml:space="preserve">Robert Sands </w:t>
            </w:r>
            <w:r w:rsidR="00040AE2" w:rsidRPr="00647C12">
              <w:rPr>
                <w:b/>
              </w:rPr>
              <w:t xml:space="preserve"> (Chair)</w:t>
            </w:r>
          </w:p>
        </w:tc>
        <w:tc>
          <w:tcPr>
            <w:tcW w:w="374" w:type="pct"/>
          </w:tcPr>
          <w:p w:rsidR="00040AE2" w:rsidRPr="00647C12" w:rsidRDefault="00040AE2" w:rsidP="00040AE2">
            <w:pPr>
              <w:pStyle w:val="Permit1"/>
              <w:rPr>
                <w:b/>
              </w:rPr>
            </w:pPr>
          </w:p>
        </w:tc>
        <w:tc>
          <w:tcPr>
            <w:tcW w:w="1403" w:type="pct"/>
            <w:tcBorders>
              <w:top w:val="single" w:sz="4" w:space="0" w:color="auto"/>
            </w:tcBorders>
          </w:tcPr>
          <w:p w:rsidR="00040AE2" w:rsidRPr="00647C12" w:rsidRDefault="009573AA" w:rsidP="00040AE2">
            <w:pPr>
              <w:pStyle w:val="Permit1"/>
              <w:rPr>
                <w:b/>
              </w:rPr>
            </w:pPr>
            <w:r>
              <w:rPr>
                <w:b/>
              </w:rPr>
              <w:t>Emma Russell</w:t>
            </w:r>
          </w:p>
        </w:tc>
        <w:tc>
          <w:tcPr>
            <w:tcW w:w="468" w:type="pct"/>
          </w:tcPr>
          <w:p w:rsidR="00040AE2" w:rsidRPr="00647C12" w:rsidRDefault="00040AE2" w:rsidP="00040AE2">
            <w:pPr>
              <w:pStyle w:val="Permit1"/>
              <w:rPr>
                <w:b/>
              </w:rPr>
            </w:pPr>
          </w:p>
        </w:tc>
        <w:tc>
          <w:tcPr>
            <w:tcW w:w="1389" w:type="pct"/>
            <w:tcBorders>
              <w:top w:val="single" w:sz="4" w:space="0" w:color="auto"/>
            </w:tcBorders>
          </w:tcPr>
          <w:p w:rsidR="00040AE2" w:rsidRPr="00647C12" w:rsidRDefault="009573AA" w:rsidP="00040AE2">
            <w:pPr>
              <w:pStyle w:val="Permit1"/>
              <w:rPr>
                <w:b/>
              </w:rPr>
            </w:pPr>
            <w:r>
              <w:rPr>
                <w:b/>
              </w:rPr>
              <w:t xml:space="preserve">Peter </w:t>
            </w:r>
            <w:proofErr w:type="spellStart"/>
            <w:r>
              <w:rPr>
                <w:b/>
              </w:rPr>
              <w:t>Sagar</w:t>
            </w:r>
            <w:proofErr w:type="spellEnd"/>
          </w:p>
        </w:tc>
      </w:tr>
    </w:tbl>
    <w:p w:rsidR="00040AE2" w:rsidRPr="00647C12" w:rsidRDefault="00040AE2" w:rsidP="00040AE2">
      <w:pPr>
        <w:rPr>
          <w:b/>
        </w:rPr>
      </w:pPr>
    </w:p>
    <w:p w:rsidR="00040AE2" w:rsidRPr="00647C12" w:rsidRDefault="00040AE2" w:rsidP="00040AE2">
      <w:pPr>
        <w:rPr>
          <w:b/>
        </w:rPr>
      </w:pPr>
    </w:p>
    <w:p w:rsidR="00040AE2" w:rsidRPr="00647C12" w:rsidRDefault="00040AE2" w:rsidP="00040AE2">
      <w:pPr>
        <w:rPr>
          <w:b/>
        </w:rPr>
      </w:pPr>
    </w:p>
    <w:p w:rsidR="00040AE2" w:rsidRPr="00647C12" w:rsidRDefault="00040AE2" w:rsidP="00040AE2">
      <w:pPr>
        <w:rPr>
          <w:b/>
        </w:rPr>
      </w:pPr>
    </w:p>
    <w:p w:rsidR="00040AE2" w:rsidRPr="00647C12" w:rsidRDefault="00040AE2" w:rsidP="00040AE2">
      <w:pPr>
        <w:rPr>
          <w:b/>
        </w:rPr>
      </w:pPr>
      <w:r w:rsidRPr="00647C12">
        <w:rPr>
          <w:b/>
        </w:rPr>
        <w:t xml:space="preserve">Decision Date </w:t>
      </w:r>
      <w:r w:rsidR="00983346">
        <w:rPr>
          <w:b/>
        </w:rPr>
        <w:t>–</w:t>
      </w:r>
      <w:r w:rsidRPr="00647C12">
        <w:rPr>
          <w:b/>
        </w:rPr>
        <w:t xml:space="preserve"> </w:t>
      </w:r>
      <w:r w:rsidR="00983346">
        <w:rPr>
          <w:b/>
        </w:rPr>
        <w:t>14 September 2013</w:t>
      </w:r>
    </w:p>
    <w:p w:rsidR="00040AE2" w:rsidRPr="00647C12" w:rsidRDefault="00040AE2" w:rsidP="00040AE2">
      <w:pPr>
        <w:pStyle w:val="Permit1"/>
      </w:pPr>
    </w:p>
    <w:p w:rsidR="00040AE2" w:rsidRPr="00647C12" w:rsidRDefault="00040AE2" w:rsidP="00040AE2">
      <w:pPr>
        <w:spacing w:before="120" w:after="120"/>
        <w:rPr>
          <w:b/>
          <w:caps/>
          <w:sz w:val="26"/>
          <w:szCs w:val="26"/>
          <w:lang w:eastAsia="en-AU"/>
        </w:rPr>
      </w:pPr>
      <w:r w:rsidRPr="00647C12">
        <w:br w:type="page"/>
      </w:r>
      <w:r w:rsidR="00463CCE">
        <w:rPr>
          <w:b/>
          <w:caps/>
          <w:sz w:val="26"/>
          <w:szCs w:val="26"/>
          <w:lang w:eastAsia="en-AU"/>
        </w:rPr>
        <w:lastRenderedPageBreak/>
        <w:t>SUBMISSIONS</w:t>
      </w:r>
    </w:p>
    <w:p w:rsidR="006A3B29" w:rsidRPr="00223B84" w:rsidRDefault="00164AC5" w:rsidP="00223B84">
      <w:pPr>
        <w:numPr>
          <w:ilvl w:val="0"/>
          <w:numId w:val="16"/>
        </w:numPr>
        <w:autoSpaceDE w:val="0"/>
        <w:autoSpaceDN w:val="0"/>
        <w:adjustRightInd w:val="0"/>
        <w:spacing w:after="120" w:line="240" w:lineRule="atLeast"/>
        <w:ind w:hanging="720"/>
        <w:jc w:val="both"/>
        <w:rPr>
          <w:lang w:eastAsia="en-AU"/>
        </w:rPr>
      </w:pPr>
      <w:r w:rsidRPr="00223B84">
        <w:rPr>
          <w:lang w:eastAsia="en-AU"/>
        </w:rPr>
        <w:t>The Committee</w:t>
      </w:r>
      <w:r w:rsidR="006A3B29" w:rsidRPr="00223B84">
        <w:rPr>
          <w:lang w:eastAsia="en-AU"/>
        </w:rPr>
        <w:t xml:space="preserve"> received </w:t>
      </w:r>
      <w:r w:rsidRPr="00223B84">
        <w:rPr>
          <w:lang w:eastAsia="en-AU"/>
        </w:rPr>
        <w:t xml:space="preserve">written submissions </w:t>
      </w:r>
      <w:r w:rsidR="006A3B29" w:rsidRPr="00223B84">
        <w:rPr>
          <w:lang w:eastAsia="en-AU"/>
        </w:rPr>
        <w:t>from the following parties:</w:t>
      </w:r>
    </w:p>
    <w:p w:rsidR="00040AE2" w:rsidRPr="00647C12" w:rsidRDefault="00040AE2" w:rsidP="00223B84">
      <w:pPr>
        <w:numPr>
          <w:ilvl w:val="0"/>
          <w:numId w:val="17"/>
        </w:numPr>
        <w:autoSpaceDE w:val="0"/>
        <w:autoSpaceDN w:val="0"/>
        <w:adjustRightInd w:val="0"/>
        <w:spacing w:after="120" w:line="240" w:lineRule="atLeast"/>
        <w:ind w:left="1077" w:hanging="357"/>
        <w:jc w:val="both"/>
        <w:rPr>
          <w:lang w:eastAsia="en-AU"/>
        </w:rPr>
      </w:pPr>
      <w:r w:rsidRPr="00647C12">
        <w:rPr>
          <w:lang w:eastAsia="en-AU"/>
        </w:rPr>
        <w:t>Exe</w:t>
      </w:r>
      <w:r w:rsidR="00C6503F">
        <w:rPr>
          <w:lang w:eastAsia="en-AU"/>
        </w:rPr>
        <w:t>cutive Director</w:t>
      </w:r>
      <w:r w:rsidR="006A3B29">
        <w:rPr>
          <w:lang w:eastAsia="en-AU"/>
        </w:rPr>
        <w:t>, Heritage Victoria</w:t>
      </w:r>
      <w:r w:rsidR="00C7038C">
        <w:rPr>
          <w:lang w:eastAsia="en-AU"/>
        </w:rPr>
        <w:t>;</w:t>
      </w:r>
    </w:p>
    <w:p w:rsidR="006A3B29" w:rsidRDefault="00C166A7" w:rsidP="00223B84">
      <w:pPr>
        <w:numPr>
          <w:ilvl w:val="0"/>
          <w:numId w:val="17"/>
        </w:numPr>
        <w:autoSpaceDE w:val="0"/>
        <w:autoSpaceDN w:val="0"/>
        <w:adjustRightInd w:val="0"/>
        <w:spacing w:after="120" w:line="240" w:lineRule="atLeast"/>
        <w:ind w:left="1077" w:hanging="357"/>
        <w:jc w:val="both"/>
        <w:rPr>
          <w:lang w:eastAsia="en-AU"/>
        </w:rPr>
      </w:pPr>
      <w:r>
        <w:rPr>
          <w:lang w:eastAsia="en-AU"/>
        </w:rPr>
        <w:t>Manningham City Council</w:t>
      </w:r>
      <w:r w:rsidR="00C7038C">
        <w:rPr>
          <w:lang w:eastAsia="en-AU"/>
        </w:rPr>
        <w:t>; and</w:t>
      </w:r>
    </w:p>
    <w:p w:rsidR="00040AE2" w:rsidRDefault="00C166A7" w:rsidP="00223B84">
      <w:pPr>
        <w:numPr>
          <w:ilvl w:val="0"/>
          <w:numId w:val="17"/>
        </w:numPr>
        <w:autoSpaceDE w:val="0"/>
        <w:autoSpaceDN w:val="0"/>
        <w:adjustRightInd w:val="0"/>
        <w:spacing w:after="120" w:line="240" w:lineRule="atLeast"/>
        <w:ind w:left="1077" w:hanging="357"/>
        <w:jc w:val="both"/>
        <w:rPr>
          <w:lang w:eastAsia="en-AU"/>
        </w:rPr>
      </w:pPr>
      <w:r>
        <w:rPr>
          <w:lang w:eastAsia="en-AU"/>
        </w:rPr>
        <w:t>Mr Gerald and Mr Bernice Lane</w:t>
      </w:r>
      <w:r w:rsidR="00C7038C">
        <w:rPr>
          <w:lang w:eastAsia="en-AU"/>
        </w:rPr>
        <w:t>, owners of 149 High Street</w:t>
      </w:r>
      <w:r>
        <w:rPr>
          <w:lang w:eastAsia="en-AU"/>
        </w:rPr>
        <w:t>.</w:t>
      </w:r>
    </w:p>
    <w:p w:rsidR="0067124C" w:rsidRDefault="00FD7879" w:rsidP="00223B84">
      <w:pPr>
        <w:numPr>
          <w:ilvl w:val="0"/>
          <w:numId w:val="16"/>
        </w:numPr>
        <w:autoSpaceDE w:val="0"/>
        <w:autoSpaceDN w:val="0"/>
        <w:adjustRightInd w:val="0"/>
        <w:spacing w:after="120" w:line="240" w:lineRule="atLeast"/>
        <w:ind w:hanging="720"/>
        <w:jc w:val="both"/>
        <w:rPr>
          <w:lang w:eastAsia="en-AU"/>
        </w:rPr>
      </w:pPr>
      <w:r>
        <w:rPr>
          <w:lang w:eastAsia="en-AU"/>
        </w:rPr>
        <w:t>In addition to the permit application documents, t</w:t>
      </w:r>
      <w:r w:rsidR="0067124C">
        <w:rPr>
          <w:lang w:eastAsia="en-AU"/>
        </w:rPr>
        <w:t>he Committee also</w:t>
      </w:r>
      <w:r w:rsidR="006019E5">
        <w:rPr>
          <w:lang w:eastAsia="en-AU"/>
        </w:rPr>
        <w:t xml:space="preserve"> considered submissions</w:t>
      </w:r>
      <w:r w:rsidR="0067124C">
        <w:rPr>
          <w:lang w:eastAsia="en-AU"/>
        </w:rPr>
        <w:t xml:space="preserve"> </w:t>
      </w:r>
      <w:r w:rsidR="006019E5">
        <w:rPr>
          <w:lang w:eastAsia="en-AU"/>
        </w:rPr>
        <w:t xml:space="preserve">about the permit application </w:t>
      </w:r>
      <w:r w:rsidR="0067124C">
        <w:rPr>
          <w:lang w:eastAsia="en-AU"/>
        </w:rPr>
        <w:t xml:space="preserve">made to the Executive Director pursuant to s.69 of the </w:t>
      </w:r>
      <w:r w:rsidR="0067124C" w:rsidRPr="00223B84">
        <w:rPr>
          <w:lang w:eastAsia="en-AU"/>
        </w:rPr>
        <w:t>Heritage Act</w:t>
      </w:r>
      <w:r w:rsidR="006019E5">
        <w:rPr>
          <w:lang w:eastAsia="en-AU"/>
        </w:rPr>
        <w:t xml:space="preserve"> </w:t>
      </w:r>
      <w:r w:rsidR="006019E5" w:rsidRPr="00223B84">
        <w:rPr>
          <w:lang w:eastAsia="en-AU"/>
        </w:rPr>
        <w:t xml:space="preserve">1995 </w:t>
      </w:r>
      <w:r w:rsidR="006019E5">
        <w:rPr>
          <w:lang w:eastAsia="en-AU"/>
        </w:rPr>
        <w:t xml:space="preserve">(‘the </w:t>
      </w:r>
      <w:r w:rsidR="002A445E">
        <w:rPr>
          <w:lang w:eastAsia="en-AU"/>
        </w:rPr>
        <w:t xml:space="preserve">Heritage </w:t>
      </w:r>
      <w:r w:rsidR="006019E5">
        <w:rPr>
          <w:lang w:eastAsia="en-AU"/>
        </w:rPr>
        <w:t>Act’)</w:t>
      </w:r>
      <w:r w:rsidR="0068223E">
        <w:rPr>
          <w:lang w:eastAsia="en-AU"/>
        </w:rPr>
        <w:t xml:space="preserve"> from</w:t>
      </w:r>
      <w:r w:rsidR="0067124C">
        <w:rPr>
          <w:lang w:eastAsia="en-AU"/>
        </w:rPr>
        <w:t>:</w:t>
      </w:r>
    </w:p>
    <w:p w:rsidR="0067124C" w:rsidRDefault="00ED50F7" w:rsidP="00223B84">
      <w:pPr>
        <w:numPr>
          <w:ilvl w:val="0"/>
          <w:numId w:val="17"/>
        </w:numPr>
        <w:autoSpaceDE w:val="0"/>
        <w:autoSpaceDN w:val="0"/>
        <w:adjustRightInd w:val="0"/>
        <w:spacing w:after="120" w:line="240" w:lineRule="atLeast"/>
        <w:ind w:left="1077" w:hanging="357"/>
        <w:jc w:val="both"/>
        <w:rPr>
          <w:lang w:eastAsia="en-AU"/>
        </w:rPr>
      </w:pPr>
      <w:r>
        <w:rPr>
          <w:lang w:eastAsia="en-AU"/>
        </w:rPr>
        <w:t>Mr</w:t>
      </w:r>
      <w:r w:rsidR="0067124C">
        <w:rPr>
          <w:lang w:eastAsia="en-AU"/>
        </w:rPr>
        <w:t xml:space="preserve"> and Mr</w:t>
      </w:r>
      <w:r>
        <w:rPr>
          <w:lang w:eastAsia="en-AU"/>
        </w:rPr>
        <w:t>s</w:t>
      </w:r>
      <w:r w:rsidR="0067124C">
        <w:rPr>
          <w:lang w:eastAsia="en-AU"/>
        </w:rPr>
        <w:t xml:space="preserve"> Lane</w:t>
      </w:r>
      <w:r w:rsidR="00C7038C">
        <w:rPr>
          <w:lang w:eastAsia="en-AU"/>
        </w:rPr>
        <w:t>;</w:t>
      </w:r>
    </w:p>
    <w:p w:rsidR="0067124C" w:rsidRDefault="00ED50F7" w:rsidP="00223B84">
      <w:pPr>
        <w:numPr>
          <w:ilvl w:val="0"/>
          <w:numId w:val="17"/>
        </w:numPr>
        <w:autoSpaceDE w:val="0"/>
        <w:autoSpaceDN w:val="0"/>
        <w:adjustRightInd w:val="0"/>
        <w:spacing w:after="120" w:line="240" w:lineRule="atLeast"/>
        <w:ind w:left="1077" w:hanging="357"/>
        <w:jc w:val="both"/>
        <w:rPr>
          <w:lang w:eastAsia="en-AU"/>
        </w:rPr>
      </w:pPr>
      <w:r>
        <w:rPr>
          <w:lang w:eastAsia="en-AU"/>
        </w:rPr>
        <w:t>Ms Randi Kerr</w:t>
      </w:r>
      <w:r w:rsidR="00C7038C">
        <w:rPr>
          <w:lang w:eastAsia="en-AU"/>
        </w:rPr>
        <w:t>; and</w:t>
      </w:r>
    </w:p>
    <w:p w:rsidR="00ED50F7" w:rsidRPr="00607B57" w:rsidRDefault="00ED50F7" w:rsidP="00223B84">
      <w:pPr>
        <w:numPr>
          <w:ilvl w:val="0"/>
          <w:numId w:val="17"/>
        </w:numPr>
        <w:autoSpaceDE w:val="0"/>
        <w:autoSpaceDN w:val="0"/>
        <w:adjustRightInd w:val="0"/>
        <w:spacing w:after="120" w:line="240" w:lineRule="atLeast"/>
        <w:ind w:left="1077" w:hanging="357"/>
        <w:jc w:val="both"/>
        <w:rPr>
          <w:lang w:eastAsia="en-AU"/>
        </w:rPr>
      </w:pPr>
      <w:r>
        <w:rPr>
          <w:lang w:eastAsia="en-AU"/>
        </w:rPr>
        <w:t xml:space="preserve">E J </w:t>
      </w:r>
      <w:proofErr w:type="spellStart"/>
      <w:r>
        <w:rPr>
          <w:lang w:eastAsia="en-AU"/>
        </w:rPr>
        <w:t>Qualtrough</w:t>
      </w:r>
      <w:proofErr w:type="spellEnd"/>
      <w:r w:rsidR="00C7038C">
        <w:rPr>
          <w:lang w:eastAsia="en-AU"/>
        </w:rPr>
        <w:t>.</w:t>
      </w:r>
    </w:p>
    <w:p w:rsidR="006A3B29" w:rsidRDefault="006A3B29" w:rsidP="00040AE2">
      <w:pPr>
        <w:spacing w:before="120" w:after="120"/>
        <w:rPr>
          <w:b/>
          <w:caps/>
          <w:sz w:val="26"/>
          <w:szCs w:val="26"/>
          <w:lang w:eastAsia="en-AU"/>
        </w:rPr>
      </w:pPr>
    </w:p>
    <w:p w:rsidR="00040AE2" w:rsidRPr="00647C12" w:rsidRDefault="00040AE2" w:rsidP="00040AE2">
      <w:pPr>
        <w:spacing w:before="120" w:after="120"/>
        <w:rPr>
          <w:b/>
          <w:caps/>
          <w:sz w:val="26"/>
          <w:szCs w:val="26"/>
          <w:lang w:eastAsia="en-AU"/>
        </w:rPr>
      </w:pPr>
      <w:r w:rsidRPr="00647C12">
        <w:rPr>
          <w:b/>
          <w:caps/>
          <w:sz w:val="26"/>
          <w:szCs w:val="26"/>
          <w:lang w:eastAsia="en-AU"/>
        </w:rPr>
        <w:t>Introduction</w:t>
      </w:r>
      <w:r>
        <w:rPr>
          <w:b/>
          <w:caps/>
          <w:sz w:val="26"/>
          <w:szCs w:val="26"/>
          <w:lang w:eastAsia="en-AU"/>
        </w:rPr>
        <w:t>/BACKGROUND</w:t>
      </w:r>
    </w:p>
    <w:p w:rsidR="00040AE2" w:rsidRPr="00647C12" w:rsidRDefault="009573AA" w:rsidP="00040AE2">
      <w:pPr>
        <w:keepNext/>
        <w:autoSpaceDE w:val="0"/>
        <w:autoSpaceDN w:val="0"/>
        <w:adjustRightInd w:val="0"/>
        <w:spacing w:before="240" w:after="120" w:line="240" w:lineRule="atLeast"/>
        <w:rPr>
          <w:b/>
          <w:bCs/>
          <w:lang w:eastAsia="en-AU"/>
        </w:rPr>
      </w:pPr>
      <w:r>
        <w:rPr>
          <w:b/>
          <w:bCs/>
          <w:lang w:eastAsia="en-AU"/>
        </w:rPr>
        <w:t>The Place</w:t>
      </w:r>
    </w:p>
    <w:p w:rsidR="00040AE2" w:rsidRDefault="006D105A" w:rsidP="00BC3642">
      <w:pPr>
        <w:numPr>
          <w:ilvl w:val="0"/>
          <w:numId w:val="16"/>
        </w:numPr>
        <w:autoSpaceDE w:val="0"/>
        <w:autoSpaceDN w:val="0"/>
        <w:adjustRightInd w:val="0"/>
        <w:spacing w:after="120" w:line="240" w:lineRule="atLeast"/>
        <w:ind w:hanging="720"/>
        <w:jc w:val="both"/>
        <w:rPr>
          <w:lang w:eastAsia="en-AU"/>
        </w:rPr>
      </w:pPr>
      <w:r>
        <w:rPr>
          <w:lang w:eastAsia="en-AU"/>
        </w:rPr>
        <w:t>Winter Park Cluster Housing (‘Winter Park’)</w:t>
      </w:r>
      <w:r w:rsidR="0068223E">
        <w:rPr>
          <w:lang w:eastAsia="en-AU"/>
        </w:rPr>
        <w:t xml:space="preserve"> comprises</w:t>
      </w:r>
      <w:r w:rsidR="009573AA" w:rsidRPr="009573AA">
        <w:rPr>
          <w:lang w:eastAsia="en-AU"/>
        </w:rPr>
        <w:t xml:space="preserve"> twenty detached houses on a 2.43 hectare site</w:t>
      </w:r>
      <w:r w:rsidR="009573AA">
        <w:rPr>
          <w:lang w:eastAsia="en-AU"/>
        </w:rPr>
        <w:t>,</w:t>
      </w:r>
      <w:r w:rsidR="009573AA" w:rsidRPr="009573AA">
        <w:rPr>
          <w:lang w:eastAsia="en-AU"/>
        </w:rPr>
        <w:t xml:space="preserve"> constructed in sta</w:t>
      </w:r>
      <w:r w:rsidR="009573AA">
        <w:rPr>
          <w:lang w:eastAsia="en-AU"/>
        </w:rPr>
        <w:t>ges between 1970 and 1974. F</w:t>
      </w:r>
      <w:r w:rsidR="009573AA" w:rsidRPr="009573AA">
        <w:rPr>
          <w:lang w:eastAsia="en-AU"/>
        </w:rPr>
        <w:t>our groups of five houses are located around communal car and pedestrian access ways</w:t>
      </w:r>
      <w:r w:rsidR="0068223E">
        <w:rPr>
          <w:lang w:eastAsia="en-AU"/>
        </w:rPr>
        <w:t>. Each</w:t>
      </w:r>
      <w:r w:rsidR="009573AA" w:rsidRPr="009573AA">
        <w:rPr>
          <w:lang w:eastAsia="en-AU"/>
        </w:rPr>
        <w:t xml:space="preserve"> dwelling has a private garden </w:t>
      </w:r>
      <w:r w:rsidR="0068223E">
        <w:rPr>
          <w:lang w:eastAsia="en-AU"/>
        </w:rPr>
        <w:t xml:space="preserve">and courtyard </w:t>
      </w:r>
      <w:r w:rsidR="009573AA" w:rsidRPr="009573AA">
        <w:rPr>
          <w:lang w:eastAsia="en-AU"/>
        </w:rPr>
        <w:t>in addition to a large central communal recr</w:t>
      </w:r>
      <w:r w:rsidR="009573AA">
        <w:rPr>
          <w:lang w:eastAsia="en-AU"/>
        </w:rPr>
        <w:t>eation space.</w:t>
      </w:r>
    </w:p>
    <w:p w:rsidR="006019E5" w:rsidRDefault="006019E5" w:rsidP="00BC3642">
      <w:pPr>
        <w:numPr>
          <w:ilvl w:val="0"/>
          <w:numId w:val="16"/>
        </w:numPr>
        <w:autoSpaceDE w:val="0"/>
        <w:autoSpaceDN w:val="0"/>
        <w:adjustRightInd w:val="0"/>
        <w:spacing w:after="120" w:line="240" w:lineRule="atLeast"/>
        <w:ind w:hanging="720"/>
        <w:jc w:val="both"/>
        <w:rPr>
          <w:lang w:eastAsia="en-AU"/>
        </w:rPr>
      </w:pPr>
      <w:r>
        <w:rPr>
          <w:lang w:eastAsia="en-AU"/>
        </w:rPr>
        <w:t>The place was included in the Victorian Heritage Register as H1345 in November 1997.</w:t>
      </w:r>
    </w:p>
    <w:p w:rsidR="00692C54" w:rsidRDefault="00692C54" w:rsidP="00BC3642">
      <w:pPr>
        <w:numPr>
          <w:ilvl w:val="0"/>
          <w:numId w:val="16"/>
        </w:numPr>
        <w:autoSpaceDE w:val="0"/>
        <w:autoSpaceDN w:val="0"/>
        <w:adjustRightInd w:val="0"/>
        <w:spacing w:after="120" w:line="240" w:lineRule="atLeast"/>
        <w:ind w:hanging="720"/>
        <w:jc w:val="both"/>
        <w:rPr>
          <w:lang w:eastAsia="en-AU"/>
        </w:rPr>
      </w:pPr>
      <w:r>
        <w:rPr>
          <w:lang w:eastAsia="en-AU"/>
        </w:rPr>
        <w:t>The application for Permit number P18148 relates to number 147 High Street, one of the twenty houses making up Winter Park.</w:t>
      </w:r>
    </w:p>
    <w:p w:rsidR="00040AE2" w:rsidRPr="005000F1" w:rsidRDefault="006D2E05" w:rsidP="00BC3642">
      <w:pPr>
        <w:keepNext/>
        <w:autoSpaceDE w:val="0"/>
        <w:autoSpaceDN w:val="0"/>
        <w:adjustRightInd w:val="0"/>
        <w:spacing w:before="240" w:after="120" w:line="240" w:lineRule="atLeast"/>
        <w:jc w:val="both"/>
        <w:rPr>
          <w:b/>
          <w:bCs/>
          <w:lang w:eastAsia="en-AU"/>
        </w:rPr>
      </w:pPr>
      <w:r>
        <w:rPr>
          <w:b/>
          <w:bCs/>
          <w:lang w:eastAsia="en-AU"/>
        </w:rPr>
        <w:t>The</w:t>
      </w:r>
      <w:r w:rsidR="00040AE2" w:rsidRPr="005000F1">
        <w:rPr>
          <w:b/>
          <w:bCs/>
          <w:lang w:eastAsia="en-AU"/>
        </w:rPr>
        <w:t xml:space="preserve"> Applicant</w:t>
      </w:r>
    </w:p>
    <w:p w:rsidR="00040AE2" w:rsidRDefault="005F396E"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On 14 December 2011, </w:t>
      </w:r>
      <w:r w:rsidR="00747B1D">
        <w:rPr>
          <w:lang w:eastAsia="en-AU"/>
        </w:rPr>
        <w:t xml:space="preserve">the owner of 147 High Street, </w:t>
      </w:r>
      <w:r w:rsidR="00D9171F">
        <w:rPr>
          <w:lang w:eastAsia="en-AU"/>
        </w:rPr>
        <w:t xml:space="preserve">Mr </w:t>
      </w:r>
      <w:r w:rsidR="00747B1D">
        <w:rPr>
          <w:lang w:eastAsia="en-AU"/>
        </w:rPr>
        <w:t xml:space="preserve">Michael </w:t>
      </w:r>
      <w:r w:rsidR="00D9171F">
        <w:rPr>
          <w:lang w:eastAsia="en-AU"/>
        </w:rPr>
        <w:t>McDonald</w:t>
      </w:r>
      <w:r w:rsidR="00747B1D">
        <w:rPr>
          <w:lang w:eastAsia="en-AU"/>
        </w:rPr>
        <w:t>,</w:t>
      </w:r>
      <w:r w:rsidR="00D9171F">
        <w:rPr>
          <w:lang w:eastAsia="en-AU"/>
        </w:rPr>
        <w:t xml:space="preserve"> applied for Permit number P18148 for a </w:t>
      </w:r>
      <w:r w:rsidR="00D9171F" w:rsidRPr="00D9171F">
        <w:rPr>
          <w:lang w:eastAsia="en-AU"/>
        </w:rPr>
        <w:t>single sto</w:t>
      </w:r>
      <w:r w:rsidR="00D9171F">
        <w:rPr>
          <w:lang w:eastAsia="en-AU"/>
        </w:rPr>
        <w:t xml:space="preserve">rey extension </w:t>
      </w:r>
      <w:r w:rsidR="00C6503F">
        <w:rPr>
          <w:lang w:eastAsia="en-AU"/>
        </w:rPr>
        <w:t xml:space="preserve">in the courtyard </w:t>
      </w:r>
      <w:r w:rsidR="0068223E">
        <w:rPr>
          <w:lang w:eastAsia="en-AU"/>
        </w:rPr>
        <w:t xml:space="preserve">and </w:t>
      </w:r>
      <w:r w:rsidR="00BD2E98">
        <w:rPr>
          <w:lang w:eastAsia="en-AU"/>
        </w:rPr>
        <w:t xml:space="preserve">pergola-covered </w:t>
      </w:r>
      <w:r w:rsidR="0068223E">
        <w:rPr>
          <w:lang w:eastAsia="en-AU"/>
        </w:rPr>
        <w:t xml:space="preserve">walkway </w:t>
      </w:r>
      <w:r w:rsidR="00C6503F">
        <w:rPr>
          <w:lang w:eastAsia="en-AU"/>
        </w:rPr>
        <w:t>on the east side of</w:t>
      </w:r>
      <w:r w:rsidR="00747B1D">
        <w:rPr>
          <w:lang w:eastAsia="en-AU"/>
        </w:rPr>
        <w:t xml:space="preserve"> </w:t>
      </w:r>
      <w:r w:rsidR="00E05B68">
        <w:rPr>
          <w:lang w:eastAsia="en-AU"/>
        </w:rPr>
        <w:t>his</w:t>
      </w:r>
      <w:r w:rsidR="00747B1D">
        <w:rPr>
          <w:lang w:eastAsia="en-AU"/>
        </w:rPr>
        <w:t xml:space="preserve"> property</w:t>
      </w:r>
      <w:r w:rsidR="00D9171F">
        <w:rPr>
          <w:lang w:eastAsia="en-AU"/>
        </w:rPr>
        <w:t>.</w:t>
      </w:r>
      <w:r w:rsidR="0068223E">
        <w:rPr>
          <w:lang w:eastAsia="en-AU"/>
        </w:rPr>
        <w:t xml:space="preserve"> The </w:t>
      </w:r>
      <w:r w:rsidR="002F51C6">
        <w:rPr>
          <w:lang w:eastAsia="en-AU"/>
        </w:rPr>
        <w:t xml:space="preserve">application included a Heritage Impact Statement </w:t>
      </w:r>
      <w:r w:rsidR="00747B1D">
        <w:rPr>
          <w:lang w:eastAsia="en-AU"/>
        </w:rPr>
        <w:t>(‘Impact Statement’</w:t>
      </w:r>
      <w:r w:rsidR="00063EE9">
        <w:rPr>
          <w:lang w:eastAsia="en-AU"/>
        </w:rPr>
        <w:t xml:space="preserve">) </w:t>
      </w:r>
      <w:r w:rsidR="002F51C6">
        <w:rPr>
          <w:lang w:eastAsia="en-AU"/>
        </w:rPr>
        <w:t>prepared by Mr David Bick, Architectural Historian and Conservation Architect.</w:t>
      </w:r>
    </w:p>
    <w:p w:rsidR="00040AE2" w:rsidRPr="005000F1" w:rsidRDefault="00040AE2" w:rsidP="00BC3642">
      <w:pPr>
        <w:keepNext/>
        <w:autoSpaceDE w:val="0"/>
        <w:autoSpaceDN w:val="0"/>
        <w:adjustRightInd w:val="0"/>
        <w:spacing w:before="240" w:after="120" w:line="240" w:lineRule="atLeast"/>
        <w:jc w:val="both"/>
        <w:rPr>
          <w:b/>
          <w:bCs/>
          <w:lang w:eastAsia="en-AU"/>
        </w:rPr>
      </w:pPr>
      <w:r>
        <w:rPr>
          <w:b/>
          <w:bCs/>
          <w:lang w:eastAsia="en-AU"/>
        </w:rPr>
        <w:t>Determin</w:t>
      </w:r>
      <w:r w:rsidRPr="005000F1">
        <w:rPr>
          <w:b/>
          <w:bCs/>
          <w:lang w:eastAsia="en-AU"/>
        </w:rPr>
        <w:t xml:space="preserve">ation of the Executive Director </w:t>
      </w:r>
    </w:p>
    <w:p w:rsidR="00040AE2" w:rsidRDefault="008738A9"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On 12 March 2013, the Executive Director </w:t>
      </w:r>
      <w:r w:rsidR="00D9171F" w:rsidRPr="00D9171F">
        <w:rPr>
          <w:lang w:eastAsia="en-AU"/>
        </w:rPr>
        <w:t>determined</w:t>
      </w:r>
      <w:r w:rsidR="0068223E">
        <w:rPr>
          <w:lang w:eastAsia="en-AU"/>
        </w:rPr>
        <w:t xml:space="preserve"> </w:t>
      </w:r>
      <w:r w:rsidR="0068223E" w:rsidRPr="00D9171F">
        <w:rPr>
          <w:lang w:eastAsia="en-AU"/>
        </w:rPr>
        <w:t>to refuse to the permit</w:t>
      </w:r>
      <w:r w:rsidR="0068223E">
        <w:rPr>
          <w:lang w:eastAsia="en-AU"/>
        </w:rPr>
        <w:t xml:space="preserve"> application</w:t>
      </w:r>
      <w:r w:rsidR="00D9171F" w:rsidRPr="00D9171F">
        <w:rPr>
          <w:lang w:eastAsia="en-AU"/>
        </w:rPr>
        <w:t xml:space="preserve"> pursuant to </w:t>
      </w:r>
      <w:proofErr w:type="gramStart"/>
      <w:r w:rsidR="00D9171F" w:rsidRPr="00D9171F">
        <w:rPr>
          <w:lang w:eastAsia="en-AU"/>
        </w:rPr>
        <w:t>s.74(</w:t>
      </w:r>
      <w:proofErr w:type="gramEnd"/>
      <w:r w:rsidR="00D9171F" w:rsidRPr="00D9171F">
        <w:rPr>
          <w:lang w:eastAsia="en-AU"/>
        </w:rPr>
        <w:t xml:space="preserve">1)(c) of the </w:t>
      </w:r>
      <w:r w:rsidR="002A445E">
        <w:rPr>
          <w:lang w:eastAsia="en-AU"/>
        </w:rPr>
        <w:t xml:space="preserve">Heritage </w:t>
      </w:r>
      <w:r w:rsidR="00D9171F" w:rsidRPr="00D9171F">
        <w:rPr>
          <w:lang w:eastAsia="en-AU"/>
        </w:rPr>
        <w:t xml:space="preserve">Act. </w:t>
      </w:r>
      <w:r>
        <w:rPr>
          <w:lang w:eastAsia="en-AU"/>
        </w:rPr>
        <w:t xml:space="preserve">The </w:t>
      </w:r>
      <w:r w:rsidR="00D9171F" w:rsidRPr="00D9171F">
        <w:rPr>
          <w:lang w:eastAsia="en-AU"/>
        </w:rPr>
        <w:t xml:space="preserve">reasons </w:t>
      </w:r>
      <w:r>
        <w:rPr>
          <w:lang w:eastAsia="en-AU"/>
        </w:rPr>
        <w:t>for the refusal were as follows:</w:t>
      </w:r>
    </w:p>
    <w:p w:rsidR="008738A9" w:rsidRDefault="008738A9" w:rsidP="00BC3642">
      <w:pPr>
        <w:numPr>
          <w:ilvl w:val="0"/>
          <w:numId w:val="17"/>
        </w:numPr>
        <w:autoSpaceDE w:val="0"/>
        <w:autoSpaceDN w:val="0"/>
        <w:adjustRightInd w:val="0"/>
        <w:spacing w:after="120" w:line="240" w:lineRule="atLeast"/>
        <w:ind w:left="1077" w:hanging="357"/>
        <w:jc w:val="both"/>
        <w:rPr>
          <w:lang w:eastAsia="en-AU"/>
        </w:rPr>
      </w:pPr>
      <w:r>
        <w:rPr>
          <w:lang w:eastAsia="en-AU"/>
        </w:rPr>
        <w:t>The proposed addition is considered intrusive to the identified cultural heritage significance of the Winter Park Cluster Housing as a whole.</w:t>
      </w:r>
    </w:p>
    <w:p w:rsidR="008738A9" w:rsidRPr="00647C12" w:rsidRDefault="008738A9" w:rsidP="00BC3642">
      <w:pPr>
        <w:numPr>
          <w:ilvl w:val="0"/>
          <w:numId w:val="17"/>
        </w:numPr>
        <w:autoSpaceDE w:val="0"/>
        <w:autoSpaceDN w:val="0"/>
        <w:adjustRightInd w:val="0"/>
        <w:spacing w:after="120" w:line="240" w:lineRule="atLeast"/>
        <w:ind w:left="1077" w:hanging="357"/>
        <w:jc w:val="both"/>
        <w:rPr>
          <w:lang w:eastAsia="en-AU"/>
        </w:rPr>
      </w:pPr>
      <w:r>
        <w:rPr>
          <w:lang w:eastAsia="en-AU"/>
        </w:rPr>
        <w:t xml:space="preserve">The permit policy for the place states that the Winter Park </w:t>
      </w:r>
      <w:r w:rsidR="00BD2E98">
        <w:rPr>
          <w:lang w:eastAsia="en-AU"/>
        </w:rPr>
        <w:t xml:space="preserve">Cluster Housing </w:t>
      </w:r>
      <w:r>
        <w:rPr>
          <w:lang w:eastAsia="en-AU"/>
        </w:rPr>
        <w:t xml:space="preserve">is significant for its layout and landscaping and for the relationship of the individual buildings to the cluster rather than their individual qualities, particularly their interiors. The proposed addition will result in an </w:t>
      </w:r>
      <w:r>
        <w:rPr>
          <w:lang w:eastAsia="en-AU"/>
        </w:rPr>
        <w:lastRenderedPageBreak/>
        <w:t>unacceptable change to the layout by infilling the courtyard and building to the boundary lines.</w:t>
      </w:r>
    </w:p>
    <w:p w:rsidR="00040AE2" w:rsidRPr="007271D5" w:rsidRDefault="00237049" w:rsidP="00BC3642">
      <w:pPr>
        <w:keepNext/>
        <w:autoSpaceDE w:val="0"/>
        <w:autoSpaceDN w:val="0"/>
        <w:adjustRightInd w:val="0"/>
        <w:spacing w:before="240" w:after="120" w:line="240" w:lineRule="atLeast"/>
        <w:jc w:val="both"/>
        <w:rPr>
          <w:b/>
          <w:lang w:eastAsia="en-AU"/>
        </w:rPr>
      </w:pPr>
      <w:r>
        <w:rPr>
          <w:b/>
          <w:lang w:eastAsia="en-AU"/>
        </w:rPr>
        <w:t>Site</w:t>
      </w:r>
      <w:r w:rsidR="00040AE2" w:rsidRPr="007271D5">
        <w:rPr>
          <w:b/>
          <w:lang w:eastAsia="en-AU"/>
        </w:rPr>
        <w:t xml:space="preserve"> Inspection</w:t>
      </w:r>
    </w:p>
    <w:p w:rsidR="00040AE2" w:rsidRPr="003D2D8E" w:rsidRDefault="00237049" w:rsidP="00BC3642">
      <w:pPr>
        <w:numPr>
          <w:ilvl w:val="0"/>
          <w:numId w:val="16"/>
        </w:numPr>
        <w:autoSpaceDE w:val="0"/>
        <w:autoSpaceDN w:val="0"/>
        <w:adjustRightInd w:val="0"/>
        <w:spacing w:line="240" w:lineRule="atLeast"/>
        <w:ind w:hanging="720"/>
        <w:jc w:val="both"/>
        <w:rPr>
          <w:lang w:eastAsia="en-AU"/>
        </w:rPr>
      </w:pPr>
      <w:r>
        <w:rPr>
          <w:lang w:eastAsia="en-AU"/>
        </w:rPr>
        <w:t>The</w:t>
      </w:r>
      <w:r w:rsidR="00747B1D">
        <w:rPr>
          <w:lang w:eastAsia="en-AU"/>
        </w:rPr>
        <w:t xml:space="preserve"> </w:t>
      </w:r>
      <w:r w:rsidR="006D2A3E">
        <w:rPr>
          <w:lang w:eastAsia="en-AU"/>
        </w:rPr>
        <w:t xml:space="preserve">Permits </w:t>
      </w:r>
      <w:r>
        <w:rPr>
          <w:lang w:eastAsia="en-AU"/>
        </w:rPr>
        <w:t>Committee made a site inspection accompanied by the Hearings Officer on 13 August 2013</w:t>
      </w:r>
      <w:r w:rsidR="00040AE2" w:rsidRPr="003D2D8E">
        <w:rPr>
          <w:lang w:eastAsia="en-AU"/>
        </w:rPr>
        <w:t>.</w:t>
      </w:r>
      <w:r>
        <w:rPr>
          <w:lang w:eastAsia="en-AU"/>
        </w:rPr>
        <w:t xml:space="preserve"> The Applicant</w:t>
      </w:r>
      <w:r w:rsidR="0068223E">
        <w:rPr>
          <w:lang w:eastAsia="en-AU"/>
        </w:rPr>
        <w:t xml:space="preserve"> and Ms Janet Sullivan, Permits Manager, Heritage Victoria were</w:t>
      </w:r>
      <w:r>
        <w:rPr>
          <w:lang w:eastAsia="en-AU"/>
        </w:rPr>
        <w:t xml:space="preserve"> present</w:t>
      </w:r>
      <w:r w:rsidR="0068223E">
        <w:rPr>
          <w:lang w:eastAsia="en-AU"/>
        </w:rPr>
        <w:t>.</w:t>
      </w:r>
      <w:r>
        <w:rPr>
          <w:lang w:eastAsia="en-AU"/>
        </w:rPr>
        <w:t xml:space="preserve"> </w:t>
      </w:r>
      <w:r w:rsidR="0068223E">
        <w:rPr>
          <w:lang w:eastAsia="en-AU"/>
        </w:rPr>
        <w:t>T</w:t>
      </w:r>
      <w:r>
        <w:rPr>
          <w:lang w:eastAsia="en-AU"/>
        </w:rPr>
        <w:t xml:space="preserve">he Committee did not receive any </w:t>
      </w:r>
      <w:r w:rsidR="00D9578D">
        <w:rPr>
          <w:lang w:eastAsia="en-AU"/>
        </w:rPr>
        <w:t xml:space="preserve">verbal or </w:t>
      </w:r>
      <w:r w:rsidR="005F396E">
        <w:rPr>
          <w:lang w:eastAsia="en-AU"/>
        </w:rPr>
        <w:t xml:space="preserve">written </w:t>
      </w:r>
      <w:r>
        <w:rPr>
          <w:lang w:eastAsia="en-AU"/>
        </w:rPr>
        <w:t>submissions</w:t>
      </w:r>
      <w:r w:rsidR="0068223E">
        <w:rPr>
          <w:lang w:eastAsia="en-AU"/>
        </w:rPr>
        <w:t xml:space="preserve"> during the inspection</w:t>
      </w:r>
      <w:r>
        <w:rPr>
          <w:lang w:eastAsia="en-AU"/>
        </w:rPr>
        <w:t>.</w:t>
      </w:r>
    </w:p>
    <w:p w:rsidR="00040AE2" w:rsidRPr="00647C12" w:rsidRDefault="00040AE2" w:rsidP="00BC3642">
      <w:pPr>
        <w:keepNext/>
        <w:autoSpaceDE w:val="0"/>
        <w:autoSpaceDN w:val="0"/>
        <w:adjustRightInd w:val="0"/>
        <w:spacing w:before="240" w:after="120" w:line="240" w:lineRule="atLeast"/>
        <w:ind w:left="720" w:hanging="720"/>
        <w:jc w:val="both"/>
        <w:rPr>
          <w:b/>
          <w:bCs/>
          <w:lang w:eastAsia="en-AU"/>
        </w:rPr>
      </w:pPr>
      <w:r w:rsidRPr="00647C12">
        <w:rPr>
          <w:b/>
          <w:bCs/>
          <w:lang w:eastAsia="en-AU"/>
        </w:rPr>
        <w:t>Preliminary Matters</w:t>
      </w:r>
    </w:p>
    <w:p w:rsidR="00040AE2" w:rsidRPr="00647C12" w:rsidRDefault="00237049" w:rsidP="00BC3642">
      <w:pPr>
        <w:numPr>
          <w:ilvl w:val="0"/>
          <w:numId w:val="16"/>
        </w:numPr>
        <w:autoSpaceDE w:val="0"/>
        <w:autoSpaceDN w:val="0"/>
        <w:adjustRightInd w:val="0"/>
        <w:spacing w:line="240" w:lineRule="atLeast"/>
        <w:ind w:hanging="720"/>
        <w:jc w:val="both"/>
        <w:rPr>
          <w:lang w:eastAsia="en-AU"/>
        </w:rPr>
      </w:pPr>
      <w:r>
        <w:rPr>
          <w:lang w:eastAsia="en-AU"/>
        </w:rPr>
        <w:t>The permit application documents were circulated to all parties; however, no further submissions were received from the Applicant</w:t>
      </w:r>
      <w:r w:rsidR="00040AE2" w:rsidRPr="00647C12">
        <w:rPr>
          <w:lang w:eastAsia="en-AU"/>
        </w:rPr>
        <w:t>.</w:t>
      </w:r>
      <w:r w:rsidR="005F396E">
        <w:rPr>
          <w:lang w:eastAsia="en-AU"/>
        </w:rPr>
        <w:t xml:space="preserve"> </w:t>
      </w:r>
      <w:r w:rsidR="006D2E05">
        <w:rPr>
          <w:lang w:eastAsia="en-AU"/>
        </w:rPr>
        <w:t>With the consent of the A</w:t>
      </w:r>
      <w:r w:rsidR="005F396E">
        <w:rPr>
          <w:lang w:eastAsia="en-AU"/>
        </w:rPr>
        <w:t xml:space="preserve">pplicant, the Committee resolved to determine the matter without a hearing pursuant to </w:t>
      </w:r>
      <w:proofErr w:type="gramStart"/>
      <w:r w:rsidR="00292167">
        <w:rPr>
          <w:lang w:eastAsia="en-AU"/>
        </w:rPr>
        <w:t>s.</w:t>
      </w:r>
      <w:r w:rsidR="005F396E">
        <w:rPr>
          <w:lang w:eastAsia="en-AU"/>
        </w:rPr>
        <w:t>76(</w:t>
      </w:r>
      <w:proofErr w:type="gramEnd"/>
      <w:r w:rsidR="005F396E">
        <w:rPr>
          <w:lang w:eastAsia="en-AU"/>
        </w:rPr>
        <w:t xml:space="preserve">2)(b) of the </w:t>
      </w:r>
      <w:r w:rsidR="0068223E">
        <w:rPr>
          <w:lang w:eastAsia="en-AU"/>
        </w:rPr>
        <w:t xml:space="preserve">Heritage </w:t>
      </w:r>
      <w:r w:rsidR="005F396E">
        <w:rPr>
          <w:lang w:eastAsia="en-AU"/>
        </w:rPr>
        <w:t>Act.</w:t>
      </w:r>
    </w:p>
    <w:p w:rsidR="00040AE2" w:rsidRPr="00647C12" w:rsidRDefault="00040AE2" w:rsidP="00BC3642">
      <w:pPr>
        <w:autoSpaceDE w:val="0"/>
        <w:autoSpaceDN w:val="0"/>
        <w:adjustRightInd w:val="0"/>
        <w:spacing w:line="240" w:lineRule="atLeast"/>
        <w:jc w:val="both"/>
        <w:rPr>
          <w:lang w:eastAsia="en-AU"/>
        </w:rPr>
      </w:pPr>
    </w:p>
    <w:p w:rsidR="00040AE2" w:rsidRPr="00647C12" w:rsidRDefault="00040AE2" w:rsidP="00BC3642">
      <w:pPr>
        <w:spacing w:before="120" w:after="120"/>
        <w:jc w:val="both"/>
        <w:rPr>
          <w:b/>
          <w:caps/>
          <w:sz w:val="26"/>
          <w:szCs w:val="26"/>
          <w:lang w:eastAsia="en-AU"/>
        </w:rPr>
      </w:pPr>
      <w:r>
        <w:rPr>
          <w:b/>
          <w:caps/>
          <w:sz w:val="26"/>
          <w:szCs w:val="26"/>
          <w:lang w:eastAsia="en-AU"/>
        </w:rPr>
        <w:t>ISSUES</w:t>
      </w:r>
    </w:p>
    <w:p w:rsidR="002A445E" w:rsidRPr="00515885" w:rsidRDefault="002A445E" w:rsidP="00BC3642">
      <w:pPr>
        <w:numPr>
          <w:ilvl w:val="0"/>
          <w:numId w:val="16"/>
        </w:numPr>
        <w:autoSpaceDE w:val="0"/>
        <w:autoSpaceDN w:val="0"/>
        <w:adjustRightInd w:val="0"/>
        <w:spacing w:line="240" w:lineRule="atLeast"/>
        <w:ind w:hanging="720"/>
        <w:jc w:val="both"/>
        <w:rPr>
          <w:lang w:eastAsia="en-AU"/>
        </w:rPr>
      </w:pPr>
      <w:r w:rsidRPr="00515885">
        <w:rPr>
          <w:lang w:eastAsia="en-AU"/>
        </w:rPr>
        <w:t xml:space="preserve">This section is not intended to be a complete record of submissions that were made to the Committee. It is a summary </w:t>
      </w:r>
      <w:r>
        <w:rPr>
          <w:lang w:eastAsia="en-AU"/>
        </w:rPr>
        <w:t>of what the Committee considers</w:t>
      </w:r>
      <w:r w:rsidRPr="00515885">
        <w:rPr>
          <w:lang w:eastAsia="en-AU"/>
        </w:rPr>
        <w:t xml:space="preserve"> to be the key issues, followed by an explanation of the position the Committee takes on each issue.</w:t>
      </w:r>
    </w:p>
    <w:p w:rsidR="00040AE2" w:rsidRPr="00647C12" w:rsidRDefault="00040AE2" w:rsidP="00BC3642">
      <w:pPr>
        <w:keepNext/>
        <w:autoSpaceDE w:val="0"/>
        <w:autoSpaceDN w:val="0"/>
        <w:adjustRightInd w:val="0"/>
        <w:spacing w:before="240" w:after="120" w:line="240" w:lineRule="atLeast"/>
        <w:ind w:left="540" w:hanging="540"/>
        <w:jc w:val="both"/>
        <w:rPr>
          <w:b/>
          <w:bCs/>
          <w:lang w:eastAsia="en-AU"/>
        </w:rPr>
      </w:pPr>
      <w:r>
        <w:rPr>
          <w:b/>
          <w:bCs/>
          <w:lang w:eastAsia="en-AU"/>
        </w:rPr>
        <w:t>Summary of issues</w:t>
      </w:r>
    </w:p>
    <w:p w:rsidR="00292167" w:rsidRDefault="002A445E" w:rsidP="00BC3642">
      <w:pPr>
        <w:numPr>
          <w:ilvl w:val="0"/>
          <w:numId w:val="16"/>
        </w:numPr>
        <w:autoSpaceDE w:val="0"/>
        <w:autoSpaceDN w:val="0"/>
        <w:adjustRightInd w:val="0"/>
        <w:spacing w:after="120" w:line="240" w:lineRule="atLeast"/>
        <w:ind w:hanging="720"/>
        <w:jc w:val="both"/>
        <w:rPr>
          <w:lang w:eastAsia="en-AU"/>
        </w:rPr>
      </w:pPr>
      <w:r>
        <w:rPr>
          <w:lang w:eastAsia="en-AU"/>
        </w:rPr>
        <w:t>The Committee had regard to the matters to be considered in determining permit</w:t>
      </w:r>
      <w:r w:rsidR="0068223E">
        <w:rPr>
          <w:lang w:eastAsia="en-AU"/>
        </w:rPr>
        <w:t xml:space="preserve"> applications listed at s.</w:t>
      </w:r>
      <w:r>
        <w:rPr>
          <w:lang w:eastAsia="en-AU"/>
        </w:rPr>
        <w:t>73 of the Heritage Act</w:t>
      </w:r>
      <w:r w:rsidR="00BC3642">
        <w:rPr>
          <w:lang w:eastAsia="en-AU"/>
        </w:rPr>
        <w:t xml:space="preserve"> (see Attachment 1 to this report)</w:t>
      </w:r>
      <w:r w:rsidR="00292167">
        <w:rPr>
          <w:lang w:eastAsia="en-AU"/>
        </w:rPr>
        <w:t>.</w:t>
      </w:r>
    </w:p>
    <w:p w:rsidR="00043E73" w:rsidRDefault="00A7318C">
      <w:pPr>
        <w:numPr>
          <w:ilvl w:val="0"/>
          <w:numId w:val="16"/>
        </w:numPr>
        <w:autoSpaceDE w:val="0"/>
        <w:autoSpaceDN w:val="0"/>
        <w:adjustRightInd w:val="0"/>
        <w:spacing w:after="120" w:line="240" w:lineRule="atLeast"/>
        <w:ind w:hanging="720"/>
        <w:jc w:val="both"/>
        <w:rPr>
          <w:lang w:eastAsia="en-AU"/>
        </w:rPr>
      </w:pPr>
      <w:r>
        <w:rPr>
          <w:lang w:eastAsia="en-AU"/>
        </w:rPr>
        <w:t>The Committee has addressed</w:t>
      </w:r>
      <w:r w:rsidR="002A445E">
        <w:rPr>
          <w:lang w:eastAsia="en-AU"/>
        </w:rPr>
        <w:t xml:space="preserve"> the</w:t>
      </w:r>
      <w:r>
        <w:rPr>
          <w:lang w:eastAsia="en-AU"/>
        </w:rPr>
        <w:t xml:space="preserve"> most</w:t>
      </w:r>
      <w:r w:rsidR="002A445E">
        <w:rPr>
          <w:lang w:eastAsia="en-AU"/>
        </w:rPr>
        <w:t xml:space="preserve"> </w:t>
      </w:r>
      <w:r w:rsidR="00747B1D">
        <w:rPr>
          <w:lang w:eastAsia="en-AU"/>
        </w:rPr>
        <w:t>pertinent</w:t>
      </w:r>
      <w:r w:rsidR="002A445E">
        <w:rPr>
          <w:lang w:eastAsia="en-AU"/>
        </w:rPr>
        <w:t xml:space="preserve"> matters</w:t>
      </w:r>
      <w:r>
        <w:rPr>
          <w:lang w:eastAsia="en-AU"/>
        </w:rPr>
        <w:t xml:space="preserve"> at length, being the impacts upon the cultural heritage significance of Winter Park</w:t>
      </w:r>
      <w:r w:rsidR="00BD2E98">
        <w:rPr>
          <w:lang w:eastAsia="en-AU"/>
        </w:rPr>
        <w:t>,</w:t>
      </w:r>
      <w:r>
        <w:rPr>
          <w:lang w:eastAsia="en-AU"/>
        </w:rPr>
        <w:t xml:space="preserve"> </w:t>
      </w:r>
      <w:r w:rsidR="00FE5C34">
        <w:rPr>
          <w:lang w:eastAsia="en-AU"/>
        </w:rPr>
        <w:t>including the impacts on the amenity of 149 High Street</w:t>
      </w:r>
      <w:r w:rsidR="00BD2E98">
        <w:rPr>
          <w:lang w:eastAsia="en-AU"/>
        </w:rPr>
        <w:t>,</w:t>
      </w:r>
      <w:r w:rsidR="00FE5C34">
        <w:rPr>
          <w:lang w:eastAsia="en-AU"/>
        </w:rPr>
        <w:t xml:space="preserve"> </w:t>
      </w:r>
      <w:r>
        <w:rPr>
          <w:lang w:eastAsia="en-AU"/>
        </w:rPr>
        <w:t>(s.73(1)(a));</w:t>
      </w:r>
      <w:r w:rsidR="00BD2E98">
        <w:rPr>
          <w:lang w:eastAsia="en-AU"/>
        </w:rPr>
        <w:t xml:space="preserve"> </w:t>
      </w:r>
      <w:r w:rsidR="00FE5C34">
        <w:rPr>
          <w:lang w:eastAsia="en-AU"/>
        </w:rPr>
        <w:t>and</w:t>
      </w:r>
      <w:r w:rsidR="00C02B5B">
        <w:rPr>
          <w:lang w:eastAsia="en-AU"/>
        </w:rPr>
        <w:t xml:space="preserve"> </w:t>
      </w:r>
      <w:r w:rsidRPr="00BD2E98">
        <w:rPr>
          <w:lang w:eastAsia="en-AU"/>
        </w:rPr>
        <w:t xml:space="preserve">the reasonable use of the registered place </w:t>
      </w:r>
      <w:r>
        <w:rPr>
          <w:lang w:eastAsia="en-AU"/>
        </w:rPr>
        <w:t>(s.73(1)(b))</w:t>
      </w:r>
      <w:r w:rsidR="0068223E">
        <w:rPr>
          <w:lang w:eastAsia="en-AU"/>
        </w:rPr>
        <w:t>.</w:t>
      </w:r>
    </w:p>
    <w:p w:rsidR="0068223E" w:rsidRDefault="0068223E" w:rsidP="0068223E">
      <w:pPr>
        <w:autoSpaceDE w:val="0"/>
        <w:autoSpaceDN w:val="0"/>
        <w:adjustRightInd w:val="0"/>
        <w:spacing w:after="120" w:line="240" w:lineRule="atLeast"/>
        <w:ind w:left="1440"/>
        <w:jc w:val="both"/>
        <w:rPr>
          <w:lang w:eastAsia="en-AU"/>
        </w:rPr>
      </w:pPr>
    </w:p>
    <w:p w:rsidR="00040AE2" w:rsidRDefault="00040AE2" w:rsidP="00BC3642">
      <w:pPr>
        <w:autoSpaceDE w:val="0"/>
        <w:autoSpaceDN w:val="0"/>
        <w:adjustRightInd w:val="0"/>
        <w:spacing w:line="240" w:lineRule="atLeast"/>
        <w:jc w:val="both"/>
        <w:rPr>
          <w:u w:val="single"/>
          <w:lang w:eastAsia="en-AU"/>
        </w:rPr>
      </w:pPr>
      <w:r w:rsidRPr="001E3270">
        <w:rPr>
          <w:u w:val="single"/>
          <w:lang w:eastAsia="en-AU"/>
        </w:rPr>
        <w:t>Mandatory considerations</w:t>
      </w:r>
    </w:p>
    <w:p w:rsidR="005B7C4B" w:rsidRDefault="00040AE2">
      <w:pPr>
        <w:keepNext/>
        <w:autoSpaceDE w:val="0"/>
        <w:autoSpaceDN w:val="0"/>
        <w:adjustRightInd w:val="0"/>
        <w:spacing w:before="240" w:after="120" w:line="240" w:lineRule="atLeast"/>
        <w:jc w:val="both"/>
        <w:rPr>
          <w:b/>
          <w:bCs/>
          <w:lang w:eastAsia="en-AU"/>
        </w:rPr>
      </w:pPr>
      <w:proofErr w:type="gramStart"/>
      <w:r>
        <w:rPr>
          <w:b/>
          <w:bCs/>
          <w:lang w:eastAsia="en-AU"/>
        </w:rPr>
        <w:t>s.73(</w:t>
      </w:r>
      <w:proofErr w:type="gramEnd"/>
      <w:r>
        <w:rPr>
          <w:b/>
          <w:bCs/>
          <w:lang w:eastAsia="en-AU"/>
        </w:rPr>
        <w:t>1)(a) the extent to which the application, if approved, would affect the cultural heritage significance of the regis</w:t>
      </w:r>
      <w:r w:rsidR="003746E3">
        <w:rPr>
          <w:b/>
          <w:bCs/>
          <w:lang w:eastAsia="en-AU"/>
        </w:rPr>
        <w:t>tered place</w:t>
      </w:r>
    </w:p>
    <w:p w:rsidR="00040AE2" w:rsidRPr="003B56C9" w:rsidRDefault="006D105A"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The Committee received submissions about the impact of the proposal on the </w:t>
      </w:r>
      <w:r w:rsidRPr="006D105A">
        <w:rPr>
          <w:bCs/>
          <w:lang w:eastAsia="en-AU"/>
        </w:rPr>
        <w:t>cultural heritage significance of Winter Park</w:t>
      </w:r>
      <w:r w:rsidRPr="006D105A">
        <w:rPr>
          <w:lang w:eastAsia="en-AU"/>
        </w:rPr>
        <w:t>.</w:t>
      </w:r>
    </w:p>
    <w:p w:rsidR="00063EE9" w:rsidRDefault="00EF78CE" w:rsidP="00BC3642">
      <w:pPr>
        <w:numPr>
          <w:ilvl w:val="0"/>
          <w:numId w:val="16"/>
        </w:numPr>
        <w:autoSpaceDE w:val="0"/>
        <w:autoSpaceDN w:val="0"/>
        <w:adjustRightInd w:val="0"/>
        <w:spacing w:after="120" w:line="240" w:lineRule="atLeast"/>
        <w:ind w:hanging="720"/>
        <w:jc w:val="both"/>
        <w:rPr>
          <w:lang w:eastAsia="en-AU"/>
        </w:rPr>
      </w:pPr>
      <w:r>
        <w:rPr>
          <w:lang w:eastAsia="en-AU"/>
        </w:rPr>
        <w:t>The statement of significa</w:t>
      </w:r>
      <w:r w:rsidR="003177D8">
        <w:rPr>
          <w:lang w:eastAsia="en-AU"/>
        </w:rPr>
        <w:t xml:space="preserve">nce for the place </w:t>
      </w:r>
      <w:r w:rsidR="006D2E05">
        <w:rPr>
          <w:lang w:eastAsia="en-AU"/>
        </w:rPr>
        <w:t xml:space="preserve">is as </w:t>
      </w:r>
      <w:r w:rsidR="003177D8">
        <w:rPr>
          <w:lang w:eastAsia="en-AU"/>
        </w:rPr>
        <w:t>follows.</w:t>
      </w:r>
    </w:p>
    <w:p w:rsidR="00063EE9" w:rsidRPr="00063EE9" w:rsidRDefault="00063EE9" w:rsidP="003177D8">
      <w:pPr>
        <w:pStyle w:val="NormalWeb"/>
        <w:ind w:left="1440"/>
        <w:jc w:val="both"/>
        <w:rPr>
          <w:rFonts w:ascii="Arial" w:hAnsi="Arial" w:cs="Arial"/>
          <w:i/>
          <w:color w:val="000000"/>
          <w:sz w:val="20"/>
          <w:szCs w:val="20"/>
        </w:rPr>
      </w:pPr>
      <w:r w:rsidRPr="00063EE9">
        <w:rPr>
          <w:rFonts w:ascii="Arial" w:hAnsi="Arial" w:cs="Arial"/>
          <w:i/>
          <w:color w:val="000000"/>
          <w:sz w:val="20"/>
          <w:szCs w:val="20"/>
        </w:rPr>
        <w:t>What is significant?</w:t>
      </w:r>
    </w:p>
    <w:p w:rsidR="00063EE9" w:rsidRDefault="00063EE9" w:rsidP="003177D8">
      <w:pPr>
        <w:pStyle w:val="NormalWeb"/>
        <w:ind w:left="1440"/>
        <w:jc w:val="both"/>
        <w:rPr>
          <w:rFonts w:ascii="Arial" w:hAnsi="Arial" w:cs="Arial"/>
          <w:color w:val="000000"/>
          <w:sz w:val="20"/>
          <w:szCs w:val="20"/>
        </w:rPr>
      </w:pPr>
      <w:r>
        <w:rPr>
          <w:rFonts w:ascii="Arial" w:hAnsi="Arial" w:cs="Arial"/>
          <w:color w:val="000000"/>
          <w:sz w:val="20"/>
          <w:szCs w:val="20"/>
        </w:rPr>
        <w:t>The Winter Park cluster subdivision, comprising twenty detached houses on a 2.43 hectare (six acre) site, was designed by architect Graeme Gunn together with Merchant Designs (architect Rob White) for the firm Merchant Builders Pty Ltd which constructed the development in stages between 1970 and 1974. The four groups of five houses are located around communal car and pedestrian access ways, and each dwelling has a private garden in addition to a large central communal recreation space. The central idea was the free siting of houses, private garden and communal open space to achieve an integration of the built environment within the most efficient use of land. The landscaping for the whole development was designed by Ellis Stones (1895-1975).</w:t>
      </w:r>
    </w:p>
    <w:p w:rsidR="00063EE9" w:rsidRPr="00063EE9" w:rsidRDefault="00063EE9" w:rsidP="003177D8">
      <w:pPr>
        <w:pStyle w:val="NormalWeb"/>
        <w:ind w:left="1440"/>
        <w:jc w:val="both"/>
        <w:rPr>
          <w:rFonts w:ascii="Arial" w:hAnsi="Arial" w:cs="Arial"/>
          <w:i/>
          <w:color w:val="000000"/>
          <w:sz w:val="20"/>
          <w:szCs w:val="20"/>
        </w:rPr>
      </w:pPr>
      <w:r w:rsidRPr="00063EE9">
        <w:rPr>
          <w:rFonts w:ascii="Arial" w:hAnsi="Arial" w:cs="Arial"/>
          <w:i/>
          <w:color w:val="000000"/>
          <w:sz w:val="20"/>
          <w:szCs w:val="20"/>
        </w:rPr>
        <w:t>How is it significant?</w:t>
      </w:r>
    </w:p>
    <w:p w:rsidR="00063EE9" w:rsidRDefault="00063EE9" w:rsidP="003177D8">
      <w:pPr>
        <w:pStyle w:val="NormalWeb"/>
        <w:ind w:left="1440"/>
        <w:jc w:val="both"/>
        <w:rPr>
          <w:rFonts w:ascii="Arial" w:hAnsi="Arial" w:cs="Arial"/>
          <w:color w:val="000000"/>
          <w:sz w:val="20"/>
          <w:szCs w:val="20"/>
        </w:rPr>
      </w:pPr>
      <w:r>
        <w:rPr>
          <w:rFonts w:ascii="Arial" w:hAnsi="Arial" w:cs="Arial"/>
          <w:color w:val="000000"/>
          <w:sz w:val="20"/>
          <w:szCs w:val="20"/>
        </w:rPr>
        <w:t>Winter Park is of architectural, social, historic and aesthetic importance to the State of Victoria.</w:t>
      </w:r>
    </w:p>
    <w:p w:rsidR="00063EE9" w:rsidRPr="00063EE9" w:rsidRDefault="00063EE9" w:rsidP="003177D8">
      <w:pPr>
        <w:pStyle w:val="NormalWeb"/>
        <w:ind w:left="1440"/>
        <w:jc w:val="both"/>
        <w:rPr>
          <w:rFonts w:ascii="Arial" w:hAnsi="Arial" w:cs="Arial"/>
          <w:i/>
          <w:color w:val="000000"/>
          <w:sz w:val="20"/>
          <w:szCs w:val="20"/>
        </w:rPr>
      </w:pPr>
      <w:r w:rsidRPr="00063EE9">
        <w:rPr>
          <w:rFonts w:ascii="Arial" w:hAnsi="Arial" w:cs="Arial"/>
          <w:i/>
          <w:color w:val="000000"/>
          <w:sz w:val="20"/>
          <w:szCs w:val="20"/>
        </w:rPr>
        <w:t>Why is it significant?</w:t>
      </w:r>
    </w:p>
    <w:p w:rsidR="00063EE9" w:rsidRDefault="00063EE9" w:rsidP="003177D8">
      <w:pPr>
        <w:pStyle w:val="NormalWeb"/>
        <w:ind w:left="1440"/>
        <w:jc w:val="both"/>
        <w:rPr>
          <w:rFonts w:ascii="Arial" w:hAnsi="Arial" w:cs="Arial"/>
          <w:color w:val="000000"/>
          <w:sz w:val="20"/>
          <w:szCs w:val="20"/>
        </w:rPr>
      </w:pPr>
      <w:r>
        <w:rPr>
          <w:rFonts w:ascii="Arial" w:hAnsi="Arial" w:cs="Arial"/>
          <w:color w:val="000000"/>
          <w:sz w:val="20"/>
          <w:szCs w:val="20"/>
        </w:rPr>
        <w:t>Winter Park is architecturally and socially important as the prototype cluster housing development project in Australia - an experimental attempt to present an alternative to the existing subdivision pattern of the "quarter acre block". Winter Park and its protagonists were influential in encouraging the Victorian Government to introduce the Cluster Titles Act 1974, supported by a Model Cluster Code, to control future cluster housing subdivisions and eventually to consolidate all subdivision legislation in a single act. In 1975 the Winter Park development received a citation in the Royal Australian Institute of Architect's Housing Awards.</w:t>
      </w:r>
    </w:p>
    <w:p w:rsidR="00063EE9" w:rsidRDefault="00063EE9" w:rsidP="003177D8">
      <w:pPr>
        <w:pStyle w:val="NormalWeb"/>
        <w:ind w:left="1440"/>
        <w:jc w:val="both"/>
        <w:rPr>
          <w:rFonts w:ascii="Arial" w:hAnsi="Arial" w:cs="Arial"/>
          <w:color w:val="000000"/>
          <w:sz w:val="20"/>
          <w:szCs w:val="20"/>
        </w:rPr>
      </w:pPr>
      <w:r>
        <w:rPr>
          <w:rFonts w:ascii="Arial" w:hAnsi="Arial" w:cs="Arial"/>
          <w:color w:val="000000"/>
          <w:sz w:val="20"/>
          <w:szCs w:val="20"/>
        </w:rPr>
        <w:t>Winter Park is historically and socially important for its association with Merchant Builders Pty Ltd, one of the most influential building companies in Victoria in the post-war era. Merchant Builders, which flourished during the 1960s and 1970s, pioneered the introduction of energy efficient, environmentally friendly, architect designed project homes in Victoria. Some of the many innovative design principles and features they pursued included pergolas, exposed brickwork and timber beams, passive solar energy and the use of indigenous materials.</w:t>
      </w:r>
    </w:p>
    <w:p w:rsidR="00063EE9" w:rsidRDefault="00063EE9" w:rsidP="003177D8">
      <w:pPr>
        <w:pStyle w:val="NormalWeb"/>
        <w:ind w:left="1440"/>
        <w:jc w:val="both"/>
        <w:rPr>
          <w:rFonts w:ascii="Arial" w:hAnsi="Arial" w:cs="Arial"/>
          <w:color w:val="000000"/>
          <w:sz w:val="20"/>
          <w:szCs w:val="20"/>
        </w:rPr>
      </w:pPr>
      <w:r>
        <w:rPr>
          <w:rFonts w:ascii="Arial" w:hAnsi="Arial" w:cs="Arial"/>
          <w:color w:val="000000"/>
          <w:sz w:val="20"/>
          <w:szCs w:val="20"/>
        </w:rPr>
        <w:t xml:space="preserve">Winter Park is also historically important for its association with John Ridge and David </w:t>
      </w:r>
      <w:proofErr w:type="spellStart"/>
      <w:r>
        <w:rPr>
          <w:rFonts w:ascii="Arial" w:hAnsi="Arial" w:cs="Arial"/>
          <w:color w:val="000000"/>
          <w:sz w:val="20"/>
          <w:szCs w:val="20"/>
        </w:rPr>
        <w:t>Yencken</w:t>
      </w:r>
      <w:proofErr w:type="spellEnd"/>
      <w:r>
        <w:rPr>
          <w:rFonts w:ascii="Arial" w:hAnsi="Arial" w:cs="Arial"/>
          <w:color w:val="000000"/>
          <w:sz w:val="20"/>
          <w:szCs w:val="20"/>
        </w:rPr>
        <w:t xml:space="preserve">, Directors of Merchant Builders, Graeme Gunn architect, and Ellis Stones, landscape designer. Graeme Gunn was one of Victoria's leading architects over three decades. Together with John Ridge and David </w:t>
      </w:r>
      <w:proofErr w:type="spellStart"/>
      <w:r>
        <w:rPr>
          <w:rFonts w:ascii="Arial" w:hAnsi="Arial" w:cs="Arial"/>
          <w:color w:val="000000"/>
          <w:sz w:val="20"/>
          <w:szCs w:val="20"/>
        </w:rPr>
        <w:t>Yencken</w:t>
      </w:r>
      <w:proofErr w:type="spellEnd"/>
      <w:r>
        <w:rPr>
          <w:rFonts w:ascii="Arial" w:hAnsi="Arial" w:cs="Arial"/>
          <w:color w:val="000000"/>
          <w:sz w:val="20"/>
          <w:szCs w:val="20"/>
        </w:rPr>
        <w:t xml:space="preserve"> they pioneered the introduction of contemporary architect-designed project housing in the 1960s. Graeme Gunn received many awards for</w:t>
      </w:r>
      <w:r w:rsidR="00747B1D">
        <w:rPr>
          <w:rFonts w:ascii="Arial" w:hAnsi="Arial" w:cs="Arial"/>
          <w:color w:val="000000"/>
          <w:sz w:val="20"/>
          <w:szCs w:val="20"/>
        </w:rPr>
        <w:t xml:space="preserve"> </w:t>
      </w:r>
      <w:r w:rsidR="00E05B68">
        <w:rPr>
          <w:rFonts w:ascii="Arial" w:hAnsi="Arial" w:cs="Arial"/>
          <w:color w:val="000000"/>
          <w:sz w:val="20"/>
          <w:szCs w:val="20"/>
        </w:rPr>
        <w:t>his</w:t>
      </w:r>
      <w:r w:rsidR="00747B1D">
        <w:rPr>
          <w:rFonts w:ascii="Arial" w:hAnsi="Arial" w:cs="Arial"/>
          <w:color w:val="000000"/>
          <w:sz w:val="20"/>
          <w:szCs w:val="20"/>
        </w:rPr>
        <w:t xml:space="preserve"> </w:t>
      </w:r>
      <w:r>
        <w:rPr>
          <w:rFonts w:ascii="Arial" w:hAnsi="Arial" w:cs="Arial"/>
          <w:color w:val="000000"/>
          <w:sz w:val="20"/>
          <w:szCs w:val="20"/>
        </w:rPr>
        <w:t>architectural designs. Ellis Stones, together with Edna Walling (1898-1973), was an important pioneer of contemporary garden design in Victoria, if not Australia. Stones and Walling are said to have kept alive the tradition of Australian landscape architecture. Stones' style of landscaping was characterised by a complete assimilation and mastery of Australian native materials and an authentic Australian character and Winter Park is considered to be one of</w:t>
      </w:r>
      <w:r w:rsidR="00747B1D">
        <w:rPr>
          <w:rFonts w:ascii="Arial" w:hAnsi="Arial" w:cs="Arial"/>
          <w:color w:val="000000"/>
          <w:sz w:val="20"/>
          <w:szCs w:val="20"/>
        </w:rPr>
        <w:t xml:space="preserve"> </w:t>
      </w:r>
      <w:r w:rsidR="00E05B68">
        <w:rPr>
          <w:rFonts w:ascii="Arial" w:hAnsi="Arial" w:cs="Arial"/>
          <w:color w:val="000000"/>
          <w:sz w:val="20"/>
          <w:szCs w:val="20"/>
        </w:rPr>
        <w:t>his</w:t>
      </w:r>
      <w:r w:rsidR="00747B1D">
        <w:rPr>
          <w:rFonts w:ascii="Arial" w:hAnsi="Arial" w:cs="Arial"/>
          <w:color w:val="000000"/>
          <w:sz w:val="20"/>
          <w:szCs w:val="20"/>
        </w:rPr>
        <w:t xml:space="preserve"> </w:t>
      </w:r>
      <w:r>
        <w:rPr>
          <w:rFonts w:ascii="Arial" w:hAnsi="Arial" w:cs="Arial"/>
          <w:color w:val="000000"/>
          <w:sz w:val="20"/>
          <w:szCs w:val="20"/>
        </w:rPr>
        <w:t>finest works.</w:t>
      </w:r>
    </w:p>
    <w:p w:rsidR="00063EE9" w:rsidRDefault="00063EE9" w:rsidP="003177D8">
      <w:pPr>
        <w:pStyle w:val="NormalWeb"/>
        <w:ind w:left="1440"/>
        <w:jc w:val="both"/>
        <w:rPr>
          <w:rFonts w:ascii="Arial" w:hAnsi="Arial" w:cs="Arial"/>
          <w:color w:val="000000"/>
          <w:sz w:val="20"/>
          <w:szCs w:val="20"/>
        </w:rPr>
      </w:pPr>
      <w:r>
        <w:rPr>
          <w:rFonts w:ascii="Arial" w:hAnsi="Arial" w:cs="Arial"/>
          <w:color w:val="000000"/>
          <w:sz w:val="20"/>
          <w:szCs w:val="20"/>
        </w:rPr>
        <w:t xml:space="preserve">Winter Park is of aesthetic significance for its outstanding landscape and architectural design qualities where low profile buildings (having recycled bricks and stained timber joinery) and red brick paving, tea-tree fences and recycled brick walls are integrated into the grassy woodland including indigenous trees (in particular, </w:t>
      </w:r>
      <w:r>
        <w:rPr>
          <w:rFonts w:ascii="Arial" w:hAnsi="Arial" w:cs="Arial"/>
          <w:i/>
          <w:iCs/>
          <w:color w:val="000000"/>
          <w:sz w:val="20"/>
          <w:szCs w:val="20"/>
        </w:rPr>
        <w:t xml:space="preserve">Eucalyptus </w:t>
      </w:r>
      <w:proofErr w:type="spellStart"/>
      <w:r>
        <w:rPr>
          <w:rFonts w:ascii="Arial" w:hAnsi="Arial" w:cs="Arial"/>
          <w:i/>
          <w:iCs/>
          <w:color w:val="000000"/>
          <w:sz w:val="20"/>
          <w:szCs w:val="20"/>
        </w:rPr>
        <w:t>cephalocarpa</w:t>
      </w:r>
      <w:proofErr w:type="spellEnd"/>
      <w:r>
        <w:rPr>
          <w:rFonts w:ascii="Arial" w:hAnsi="Arial" w:cs="Arial"/>
          <w:color w:val="000000"/>
          <w:sz w:val="20"/>
          <w:szCs w:val="20"/>
        </w:rPr>
        <w:t>). The aesthetic significance also derives from the central parkland planting, and the naturalistic landscape design using rocks, timber edges and seats, and planting of predominantly Australian natives.</w:t>
      </w:r>
    </w:p>
    <w:p w:rsidR="00063EE9" w:rsidRPr="003B56C9" w:rsidRDefault="00063EE9" w:rsidP="00BC3642">
      <w:pPr>
        <w:pStyle w:val="Para1"/>
        <w:numPr>
          <w:ilvl w:val="0"/>
          <w:numId w:val="0"/>
        </w:numPr>
        <w:rPr>
          <w:i/>
        </w:rPr>
      </w:pPr>
      <w:r w:rsidRPr="003B56C9">
        <w:rPr>
          <w:i/>
        </w:rPr>
        <w:t>Submissions and evidence</w:t>
      </w:r>
    </w:p>
    <w:p w:rsidR="000661DF" w:rsidRDefault="000661DF" w:rsidP="00292167">
      <w:pPr>
        <w:numPr>
          <w:ilvl w:val="0"/>
          <w:numId w:val="16"/>
        </w:numPr>
        <w:autoSpaceDE w:val="0"/>
        <w:autoSpaceDN w:val="0"/>
        <w:adjustRightInd w:val="0"/>
        <w:spacing w:after="120" w:line="240" w:lineRule="atLeast"/>
        <w:ind w:hanging="720"/>
        <w:jc w:val="both"/>
        <w:rPr>
          <w:lang w:eastAsia="en-AU"/>
        </w:rPr>
      </w:pPr>
      <w:r>
        <w:rPr>
          <w:lang w:eastAsia="en-AU"/>
        </w:rPr>
        <w:t xml:space="preserve">As outlined in </w:t>
      </w:r>
      <w:r w:rsidR="00A0030F">
        <w:rPr>
          <w:lang w:eastAsia="en-AU"/>
        </w:rPr>
        <w:t>the reasons for refusal above,</w:t>
      </w:r>
      <w:r>
        <w:rPr>
          <w:lang w:eastAsia="en-AU"/>
        </w:rPr>
        <w:t xml:space="preserve"> the Executive Director’s view</w:t>
      </w:r>
      <w:r w:rsidR="00A0030F">
        <w:rPr>
          <w:lang w:eastAsia="en-AU"/>
        </w:rPr>
        <w:t xml:space="preserve"> was</w:t>
      </w:r>
      <w:r>
        <w:rPr>
          <w:lang w:eastAsia="en-AU"/>
        </w:rPr>
        <w:t xml:space="preserve"> that the proposal </w:t>
      </w:r>
      <w:r w:rsidR="00165D40">
        <w:rPr>
          <w:lang w:eastAsia="en-AU"/>
        </w:rPr>
        <w:t>conflicted</w:t>
      </w:r>
      <w:r>
        <w:rPr>
          <w:lang w:eastAsia="en-AU"/>
        </w:rPr>
        <w:t xml:space="preserve"> with the identified heritage va</w:t>
      </w:r>
      <w:r w:rsidR="00747B1D">
        <w:rPr>
          <w:lang w:eastAsia="en-AU"/>
        </w:rPr>
        <w:t>lues of the place.</w:t>
      </w:r>
    </w:p>
    <w:p w:rsidR="00165D40" w:rsidRDefault="00292167" w:rsidP="003177D8">
      <w:pPr>
        <w:numPr>
          <w:ilvl w:val="0"/>
          <w:numId w:val="16"/>
        </w:numPr>
        <w:autoSpaceDE w:val="0"/>
        <w:autoSpaceDN w:val="0"/>
        <w:adjustRightInd w:val="0"/>
        <w:spacing w:after="120" w:line="240" w:lineRule="atLeast"/>
        <w:ind w:hanging="720"/>
        <w:jc w:val="both"/>
        <w:rPr>
          <w:lang w:eastAsia="en-AU"/>
        </w:rPr>
      </w:pPr>
      <w:r>
        <w:rPr>
          <w:lang w:eastAsia="en-AU"/>
        </w:rPr>
        <w:t>The Executive Director submitted that the</w:t>
      </w:r>
      <w:r w:rsidR="000661DF">
        <w:rPr>
          <w:lang w:eastAsia="en-AU"/>
        </w:rPr>
        <w:t xml:space="preserve"> Ap</w:t>
      </w:r>
      <w:r w:rsidR="00A64A82">
        <w:rPr>
          <w:lang w:eastAsia="en-AU"/>
        </w:rPr>
        <w:t xml:space="preserve">plicant had provided inadequate justification </w:t>
      </w:r>
      <w:r w:rsidR="00D915B9">
        <w:rPr>
          <w:lang w:eastAsia="en-AU"/>
        </w:rPr>
        <w:t xml:space="preserve">for </w:t>
      </w:r>
      <w:r>
        <w:rPr>
          <w:lang w:eastAsia="en-AU"/>
        </w:rPr>
        <w:t>the impacts of the proposal on the significance of the place</w:t>
      </w:r>
      <w:r w:rsidR="00A64A82">
        <w:rPr>
          <w:lang w:eastAsia="en-AU"/>
        </w:rPr>
        <w:t>, particularly its</w:t>
      </w:r>
      <w:r w:rsidR="000661DF">
        <w:rPr>
          <w:lang w:eastAsia="en-AU"/>
        </w:rPr>
        <w:t xml:space="preserve"> landscape and architectural design</w:t>
      </w:r>
      <w:r w:rsidR="00A64A82">
        <w:rPr>
          <w:lang w:eastAsia="en-AU"/>
        </w:rPr>
        <w:t xml:space="preserve"> qualities.</w:t>
      </w:r>
      <w:r>
        <w:rPr>
          <w:lang w:eastAsia="en-AU"/>
        </w:rPr>
        <w:t xml:space="preserve"> </w:t>
      </w:r>
      <w:r w:rsidR="003177D8">
        <w:rPr>
          <w:lang w:eastAsia="en-AU"/>
        </w:rPr>
        <w:t xml:space="preserve">The Executive Director </w:t>
      </w:r>
      <w:r w:rsidR="00165D40">
        <w:rPr>
          <w:lang w:eastAsia="en-AU"/>
        </w:rPr>
        <w:t xml:space="preserve">drew the Committee’s attention to the permit policy for the place, which states that ‘the Winter Park cluster housing is significant for its layout and landscaping and for the relationship of the individual buildings to the cluster rather than their individual qualities, particularly their interiors’. It was noted that </w:t>
      </w:r>
      <w:r>
        <w:rPr>
          <w:lang w:eastAsia="en-AU"/>
        </w:rPr>
        <w:t>each house is free-standing in a landscaped setti</w:t>
      </w:r>
      <w:r w:rsidR="00747B1D">
        <w:rPr>
          <w:lang w:eastAsia="en-AU"/>
        </w:rPr>
        <w:t>ng and</w:t>
      </w:r>
      <w:r w:rsidR="00165D40">
        <w:rPr>
          <w:lang w:eastAsia="en-AU"/>
        </w:rPr>
        <w:t xml:space="preserve"> not built to </w:t>
      </w:r>
      <w:r w:rsidR="00747B1D">
        <w:rPr>
          <w:lang w:eastAsia="en-AU"/>
        </w:rPr>
        <w:t>any</w:t>
      </w:r>
      <w:r w:rsidR="00165D40">
        <w:rPr>
          <w:lang w:eastAsia="en-AU"/>
        </w:rPr>
        <w:t xml:space="preserve"> boundary.</w:t>
      </w:r>
    </w:p>
    <w:p w:rsidR="00A72E00" w:rsidRDefault="003177D8" w:rsidP="00BC3642">
      <w:pPr>
        <w:numPr>
          <w:ilvl w:val="0"/>
          <w:numId w:val="16"/>
        </w:numPr>
        <w:autoSpaceDE w:val="0"/>
        <w:autoSpaceDN w:val="0"/>
        <w:adjustRightInd w:val="0"/>
        <w:spacing w:after="120" w:line="240" w:lineRule="atLeast"/>
        <w:ind w:hanging="720"/>
        <w:jc w:val="both"/>
        <w:rPr>
          <w:lang w:eastAsia="en-AU"/>
        </w:rPr>
      </w:pPr>
      <w:r>
        <w:rPr>
          <w:lang w:eastAsia="en-AU"/>
        </w:rPr>
        <w:t>Ultimately, t</w:t>
      </w:r>
      <w:r w:rsidR="00A72E00">
        <w:rPr>
          <w:lang w:eastAsia="en-AU"/>
        </w:rPr>
        <w:t>he Executive Director</w:t>
      </w:r>
      <w:r w:rsidR="006D2E05">
        <w:rPr>
          <w:lang w:eastAsia="en-AU"/>
        </w:rPr>
        <w:t>’s</w:t>
      </w:r>
      <w:r w:rsidR="00A72E00">
        <w:rPr>
          <w:lang w:eastAsia="en-AU"/>
        </w:rPr>
        <w:t xml:space="preserve"> </w:t>
      </w:r>
      <w:r>
        <w:rPr>
          <w:lang w:eastAsia="en-AU"/>
        </w:rPr>
        <w:t>view was that</w:t>
      </w:r>
      <w:r w:rsidR="00A72E00">
        <w:rPr>
          <w:lang w:eastAsia="en-AU"/>
        </w:rPr>
        <w:t xml:space="preserve"> </w:t>
      </w:r>
      <w:r w:rsidR="0045190D">
        <w:rPr>
          <w:lang w:eastAsia="en-AU"/>
        </w:rPr>
        <w:t xml:space="preserve">the proposal </w:t>
      </w:r>
      <w:r w:rsidR="00223B84">
        <w:rPr>
          <w:lang w:eastAsia="en-AU"/>
        </w:rPr>
        <w:t>to build-</w:t>
      </w:r>
      <w:r w:rsidR="0045190D">
        <w:rPr>
          <w:lang w:eastAsia="en-AU"/>
        </w:rPr>
        <w:t xml:space="preserve">in </w:t>
      </w:r>
      <w:r w:rsidR="00165D40">
        <w:rPr>
          <w:lang w:eastAsia="en-AU"/>
        </w:rPr>
        <w:t>part of the pergola</w:t>
      </w:r>
      <w:r w:rsidR="00BD2E98">
        <w:rPr>
          <w:lang w:eastAsia="en-AU"/>
        </w:rPr>
        <w:t>-covered</w:t>
      </w:r>
      <w:r w:rsidR="00165D40">
        <w:rPr>
          <w:lang w:eastAsia="en-AU"/>
        </w:rPr>
        <w:t xml:space="preserve"> entrance area and </w:t>
      </w:r>
      <w:r w:rsidR="0045190D">
        <w:rPr>
          <w:lang w:eastAsia="en-AU"/>
        </w:rPr>
        <w:t xml:space="preserve">the </w:t>
      </w:r>
      <w:r w:rsidR="00A72E00">
        <w:rPr>
          <w:lang w:eastAsia="en-AU"/>
        </w:rPr>
        <w:t>courtyard up to the boundary line on two sides</w:t>
      </w:r>
      <w:r w:rsidR="00165D40">
        <w:rPr>
          <w:lang w:eastAsia="en-AU"/>
        </w:rPr>
        <w:t xml:space="preserve"> would be</w:t>
      </w:r>
      <w:r w:rsidR="00A72E00">
        <w:rPr>
          <w:lang w:eastAsia="en-AU"/>
        </w:rPr>
        <w:t xml:space="preserve"> an unacceptable compromise of the identified significance.</w:t>
      </w:r>
    </w:p>
    <w:p w:rsidR="00087D7C" w:rsidRDefault="00747B1D" w:rsidP="00BC3642">
      <w:pPr>
        <w:numPr>
          <w:ilvl w:val="0"/>
          <w:numId w:val="16"/>
        </w:numPr>
        <w:autoSpaceDE w:val="0"/>
        <w:autoSpaceDN w:val="0"/>
        <w:adjustRightInd w:val="0"/>
        <w:spacing w:after="120" w:line="240" w:lineRule="atLeast"/>
        <w:ind w:hanging="720"/>
        <w:jc w:val="both"/>
        <w:rPr>
          <w:lang w:eastAsia="en-AU"/>
        </w:rPr>
      </w:pPr>
      <w:r>
        <w:rPr>
          <w:lang w:eastAsia="en-AU"/>
        </w:rPr>
        <w:t>Manningham City Council submitted</w:t>
      </w:r>
      <w:r w:rsidR="00087D7C">
        <w:rPr>
          <w:lang w:eastAsia="en-AU"/>
        </w:rPr>
        <w:t xml:space="preserve"> that </w:t>
      </w:r>
      <w:r w:rsidR="00C7038C">
        <w:rPr>
          <w:lang w:eastAsia="en-AU"/>
        </w:rPr>
        <w:t>its</w:t>
      </w:r>
      <w:r w:rsidR="00087D7C">
        <w:rPr>
          <w:lang w:eastAsia="en-AU"/>
        </w:rPr>
        <w:t xml:space="preserve"> heritage advisor, Ms </w:t>
      </w:r>
      <w:proofErr w:type="spellStart"/>
      <w:r w:rsidR="00087D7C">
        <w:rPr>
          <w:lang w:eastAsia="en-AU"/>
        </w:rPr>
        <w:t>Willys</w:t>
      </w:r>
      <w:proofErr w:type="spellEnd"/>
      <w:r w:rsidR="00087D7C">
        <w:rPr>
          <w:lang w:eastAsia="en-AU"/>
        </w:rPr>
        <w:t xml:space="preserve"> </w:t>
      </w:r>
      <w:proofErr w:type="spellStart"/>
      <w:r w:rsidR="00087D7C">
        <w:rPr>
          <w:lang w:eastAsia="en-AU"/>
        </w:rPr>
        <w:t>Keeb</w:t>
      </w:r>
      <w:r>
        <w:rPr>
          <w:lang w:eastAsia="en-AU"/>
        </w:rPr>
        <w:t>le</w:t>
      </w:r>
      <w:proofErr w:type="spellEnd"/>
      <w:r>
        <w:rPr>
          <w:lang w:eastAsia="en-AU"/>
        </w:rPr>
        <w:t>, supported</w:t>
      </w:r>
      <w:r w:rsidR="00087D7C">
        <w:rPr>
          <w:lang w:eastAsia="en-AU"/>
        </w:rPr>
        <w:t xml:space="preserve"> the decision o</w:t>
      </w:r>
      <w:r w:rsidR="00BC3642">
        <w:rPr>
          <w:lang w:eastAsia="en-AU"/>
        </w:rPr>
        <w:t>f the Executive Director</w:t>
      </w:r>
      <w:r w:rsidR="00087D7C">
        <w:rPr>
          <w:lang w:eastAsia="en-AU"/>
        </w:rPr>
        <w:t xml:space="preserve">. </w:t>
      </w:r>
      <w:r w:rsidR="009660C5">
        <w:rPr>
          <w:lang w:eastAsia="en-AU"/>
        </w:rPr>
        <w:t xml:space="preserve">In Ms </w:t>
      </w:r>
      <w:proofErr w:type="spellStart"/>
      <w:r w:rsidR="009660C5">
        <w:rPr>
          <w:lang w:eastAsia="en-AU"/>
        </w:rPr>
        <w:t>Keeble’s</w:t>
      </w:r>
      <w:proofErr w:type="spellEnd"/>
      <w:r w:rsidR="009660C5">
        <w:rPr>
          <w:lang w:eastAsia="en-AU"/>
        </w:rPr>
        <w:t xml:space="preserve"> view, the proposed building </w:t>
      </w:r>
      <w:r>
        <w:rPr>
          <w:lang w:eastAsia="en-AU"/>
        </w:rPr>
        <w:t>in</w:t>
      </w:r>
      <w:r w:rsidR="009660C5">
        <w:rPr>
          <w:lang w:eastAsia="en-AU"/>
        </w:rPr>
        <w:t xml:space="preserve"> </w:t>
      </w:r>
      <w:r>
        <w:rPr>
          <w:lang w:eastAsia="en-AU"/>
        </w:rPr>
        <w:t>th</w:t>
      </w:r>
      <w:r w:rsidR="009660C5">
        <w:rPr>
          <w:lang w:eastAsia="en-AU"/>
        </w:rPr>
        <w:t xml:space="preserve">e </w:t>
      </w:r>
      <w:r w:rsidR="00C7038C">
        <w:rPr>
          <w:lang w:eastAsia="en-AU"/>
        </w:rPr>
        <w:t>back</w:t>
      </w:r>
      <w:r w:rsidR="009660C5">
        <w:rPr>
          <w:lang w:eastAsia="en-AU"/>
        </w:rPr>
        <w:t xml:space="preserve"> courtyard at 147 High Street would disrupt the significant layout and </w:t>
      </w:r>
      <w:r>
        <w:rPr>
          <w:lang w:eastAsia="en-AU"/>
        </w:rPr>
        <w:t>landscape values of the Winter P</w:t>
      </w:r>
      <w:r w:rsidR="009660C5">
        <w:rPr>
          <w:lang w:eastAsia="en-AU"/>
        </w:rPr>
        <w:t>ark cluster housing complex. She also</w:t>
      </w:r>
      <w:r w:rsidR="00087D7C">
        <w:rPr>
          <w:lang w:eastAsia="en-AU"/>
        </w:rPr>
        <w:t xml:space="preserve"> provided the following notes:</w:t>
      </w:r>
    </w:p>
    <w:p w:rsidR="00087D7C" w:rsidRDefault="00E11CF7" w:rsidP="00BC3642">
      <w:pPr>
        <w:numPr>
          <w:ilvl w:val="0"/>
          <w:numId w:val="17"/>
        </w:numPr>
        <w:autoSpaceDE w:val="0"/>
        <w:autoSpaceDN w:val="0"/>
        <w:adjustRightInd w:val="0"/>
        <w:spacing w:after="120" w:line="240" w:lineRule="atLeast"/>
        <w:ind w:left="1077" w:hanging="357"/>
        <w:jc w:val="both"/>
        <w:rPr>
          <w:lang w:eastAsia="en-AU"/>
        </w:rPr>
      </w:pPr>
      <w:r>
        <w:rPr>
          <w:lang w:eastAsia="en-AU"/>
        </w:rPr>
        <w:t xml:space="preserve">The orientation, arrangement and disposition of </w:t>
      </w:r>
      <w:r w:rsidR="00DB26BE">
        <w:rPr>
          <w:lang w:eastAsia="en-AU"/>
        </w:rPr>
        <w:t>private open space</w:t>
      </w:r>
      <w:r w:rsidR="00674CE3">
        <w:rPr>
          <w:lang w:eastAsia="en-AU"/>
        </w:rPr>
        <w:t xml:space="preserve"> in the Winter Par</w:t>
      </w:r>
      <w:r>
        <w:rPr>
          <w:lang w:eastAsia="en-AU"/>
        </w:rPr>
        <w:t xml:space="preserve">k cluster housing </w:t>
      </w:r>
      <w:r w:rsidR="00DB26BE">
        <w:rPr>
          <w:lang w:eastAsia="en-AU"/>
        </w:rPr>
        <w:t>complex</w:t>
      </w:r>
      <w:r>
        <w:rPr>
          <w:lang w:eastAsia="en-AU"/>
        </w:rPr>
        <w:t xml:space="preserve"> </w:t>
      </w:r>
      <w:proofErr w:type="gramStart"/>
      <w:r>
        <w:rPr>
          <w:lang w:eastAsia="en-AU"/>
        </w:rPr>
        <w:t>is</w:t>
      </w:r>
      <w:proofErr w:type="gramEnd"/>
      <w:r>
        <w:rPr>
          <w:lang w:eastAsia="en-AU"/>
        </w:rPr>
        <w:t xml:space="preserve"> of primary heritage s</w:t>
      </w:r>
      <w:r w:rsidR="00DB26BE">
        <w:rPr>
          <w:lang w:eastAsia="en-AU"/>
        </w:rPr>
        <w:t>ignificance</w:t>
      </w:r>
      <w:r>
        <w:rPr>
          <w:lang w:eastAsia="en-AU"/>
        </w:rPr>
        <w:t>. It w</w:t>
      </w:r>
      <w:r w:rsidR="00DB26BE">
        <w:rPr>
          <w:lang w:eastAsia="en-AU"/>
        </w:rPr>
        <w:t>as carefully designed to achieve</w:t>
      </w:r>
      <w:r w:rsidR="00BC3642">
        <w:rPr>
          <w:lang w:eastAsia="en-AU"/>
        </w:rPr>
        <w:t xml:space="preserve"> a </w:t>
      </w:r>
      <w:r>
        <w:rPr>
          <w:lang w:eastAsia="en-AU"/>
        </w:rPr>
        <w:t xml:space="preserve">very </w:t>
      </w:r>
      <w:r w:rsidR="00BC3642">
        <w:rPr>
          <w:lang w:eastAsia="en-AU"/>
        </w:rPr>
        <w:t>high level of amenity, including winter sun</w:t>
      </w:r>
      <w:r w:rsidR="00DB26BE">
        <w:rPr>
          <w:lang w:eastAsia="en-AU"/>
        </w:rPr>
        <w:t xml:space="preserve"> an</w:t>
      </w:r>
      <w:r>
        <w:rPr>
          <w:lang w:eastAsia="en-AU"/>
        </w:rPr>
        <w:t>d connection to the outdoors.</w:t>
      </w:r>
    </w:p>
    <w:p w:rsidR="00E11CF7" w:rsidRDefault="00E11CF7" w:rsidP="00BC3642">
      <w:pPr>
        <w:numPr>
          <w:ilvl w:val="0"/>
          <w:numId w:val="17"/>
        </w:numPr>
        <w:autoSpaceDE w:val="0"/>
        <w:autoSpaceDN w:val="0"/>
        <w:adjustRightInd w:val="0"/>
        <w:spacing w:after="120" w:line="240" w:lineRule="atLeast"/>
        <w:ind w:left="1077" w:hanging="357"/>
        <w:jc w:val="both"/>
        <w:rPr>
          <w:lang w:eastAsia="en-AU"/>
        </w:rPr>
      </w:pPr>
      <w:r>
        <w:rPr>
          <w:lang w:eastAsia="en-AU"/>
        </w:rPr>
        <w:t xml:space="preserve">Every </w:t>
      </w:r>
      <w:r w:rsidR="00DB26BE">
        <w:rPr>
          <w:lang w:eastAsia="en-AU"/>
        </w:rPr>
        <w:t>dwelling in the complex has two areas of</w:t>
      </w:r>
      <w:r>
        <w:rPr>
          <w:lang w:eastAsia="en-AU"/>
        </w:rPr>
        <w:t xml:space="preserve"> private open space: one on the east and one on the west side. </w:t>
      </w:r>
      <w:r w:rsidR="00DB26BE">
        <w:rPr>
          <w:lang w:eastAsia="en-AU"/>
        </w:rPr>
        <w:t>Living</w:t>
      </w:r>
      <w:r>
        <w:rPr>
          <w:lang w:eastAsia="en-AU"/>
        </w:rPr>
        <w:t xml:space="preserve"> rooms, dining rooms and family rooms face onto </w:t>
      </w:r>
      <w:r w:rsidR="00BC3642">
        <w:rPr>
          <w:lang w:eastAsia="en-AU"/>
        </w:rPr>
        <w:t>l</w:t>
      </w:r>
      <w:r w:rsidR="00DB26BE">
        <w:rPr>
          <w:lang w:eastAsia="en-AU"/>
        </w:rPr>
        <w:t>arge</w:t>
      </w:r>
      <w:r>
        <w:rPr>
          <w:lang w:eastAsia="en-AU"/>
        </w:rPr>
        <w:t xml:space="preserve"> garden courtyards which in turn abut the Winter Park communal gardens.</w:t>
      </w:r>
    </w:p>
    <w:p w:rsidR="00F83D1C" w:rsidRDefault="00E11CF7" w:rsidP="009660C5">
      <w:pPr>
        <w:numPr>
          <w:ilvl w:val="0"/>
          <w:numId w:val="17"/>
        </w:numPr>
        <w:autoSpaceDE w:val="0"/>
        <w:autoSpaceDN w:val="0"/>
        <w:adjustRightInd w:val="0"/>
        <w:spacing w:after="120" w:line="240" w:lineRule="atLeast"/>
        <w:ind w:left="1077" w:hanging="357"/>
        <w:jc w:val="both"/>
        <w:rPr>
          <w:lang w:eastAsia="en-AU"/>
        </w:rPr>
      </w:pPr>
      <w:r>
        <w:rPr>
          <w:lang w:eastAsia="en-AU"/>
        </w:rPr>
        <w:t>Bathrooms, laundries and bedrooms generally face onto</w:t>
      </w:r>
      <w:r w:rsidR="00762248">
        <w:rPr>
          <w:lang w:eastAsia="en-AU"/>
        </w:rPr>
        <w:t xml:space="preserve"> smaller service courtyards which abut the service courtyard of the adjoining house. </w:t>
      </w:r>
      <w:r w:rsidR="00DB26BE">
        <w:rPr>
          <w:lang w:eastAsia="en-AU"/>
        </w:rPr>
        <w:t>The smaller courtyard is sunny when the larger court</w:t>
      </w:r>
      <w:r w:rsidR="009660C5">
        <w:rPr>
          <w:lang w:eastAsia="en-AU"/>
        </w:rPr>
        <w:t>yard is not. The sense of space</w:t>
      </w:r>
      <w:r w:rsidR="00DB26BE">
        <w:rPr>
          <w:lang w:eastAsia="en-AU"/>
        </w:rPr>
        <w:t>, privacy and amount of sun in the service courtyards is maximised by the abutting open space in the adjacent property.</w:t>
      </w:r>
    </w:p>
    <w:p w:rsidR="00F83D1C" w:rsidRDefault="00C7038C"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Ms </w:t>
      </w:r>
      <w:proofErr w:type="spellStart"/>
      <w:r>
        <w:rPr>
          <w:lang w:eastAsia="en-AU"/>
        </w:rPr>
        <w:t>Keeble</w:t>
      </w:r>
      <w:proofErr w:type="spellEnd"/>
      <w:r w:rsidR="00F83D1C">
        <w:rPr>
          <w:lang w:eastAsia="en-AU"/>
        </w:rPr>
        <w:t xml:space="preserve"> also argued that the pr</w:t>
      </w:r>
      <w:r w:rsidR="00674CE3">
        <w:rPr>
          <w:lang w:eastAsia="en-AU"/>
        </w:rPr>
        <w:t>o</w:t>
      </w:r>
      <w:r w:rsidR="00F83D1C">
        <w:rPr>
          <w:lang w:eastAsia="en-AU"/>
        </w:rPr>
        <w:t xml:space="preserve">posed works would harm the </w:t>
      </w:r>
      <w:r w:rsidR="00674CE3">
        <w:rPr>
          <w:lang w:eastAsia="en-AU"/>
        </w:rPr>
        <w:t>design</w:t>
      </w:r>
      <w:r w:rsidR="00F83D1C">
        <w:rPr>
          <w:lang w:eastAsia="en-AU"/>
        </w:rPr>
        <w:t xml:space="preserve"> integrity of 147 and 149 High Street. </w:t>
      </w:r>
      <w:r w:rsidR="00747B1D">
        <w:rPr>
          <w:lang w:eastAsia="en-AU"/>
        </w:rPr>
        <w:t xml:space="preserve">She noted that </w:t>
      </w:r>
      <w:r w:rsidR="00F83D1C">
        <w:rPr>
          <w:lang w:eastAsia="en-AU"/>
        </w:rPr>
        <w:t xml:space="preserve">147 would lose its </w:t>
      </w:r>
      <w:r w:rsidR="00674CE3">
        <w:rPr>
          <w:lang w:eastAsia="en-AU"/>
        </w:rPr>
        <w:t>access</w:t>
      </w:r>
      <w:r w:rsidR="00F83D1C">
        <w:rPr>
          <w:lang w:eastAsia="en-AU"/>
        </w:rPr>
        <w:t xml:space="preserve"> to outdoor winter morning s</w:t>
      </w:r>
      <w:r w:rsidR="00747B1D">
        <w:rPr>
          <w:lang w:eastAsia="en-AU"/>
        </w:rPr>
        <w:t>un and its clothes drying area; and t</w:t>
      </w:r>
      <w:r w:rsidR="00F83D1C">
        <w:rPr>
          <w:lang w:eastAsia="en-AU"/>
        </w:rPr>
        <w:t xml:space="preserve">he </w:t>
      </w:r>
      <w:r>
        <w:rPr>
          <w:lang w:eastAsia="en-AU"/>
        </w:rPr>
        <w:t>back</w:t>
      </w:r>
      <w:r w:rsidR="00F83D1C">
        <w:rPr>
          <w:lang w:eastAsia="en-AU"/>
        </w:rPr>
        <w:t xml:space="preserve"> courtyard of 149 would lose its sense of </w:t>
      </w:r>
      <w:r w:rsidR="00674CE3">
        <w:rPr>
          <w:lang w:eastAsia="en-AU"/>
        </w:rPr>
        <w:t xml:space="preserve">space </w:t>
      </w:r>
      <w:r w:rsidR="00F83D1C">
        <w:rPr>
          <w:lang w:eastAsia="en-AU"/>
        </w:rPr>
        <w:t>and be overshadowed during winter afternoons by the new building.</w:t>
      </w:r>
    </w:p>
    <w:p w:rsidR="00674CE3" w:rsidRDefault="00674CE3"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Manningham City Council </w:t>
      </w:r>
      <w:r w:rsidR="00747B1D">
        <w:rPr>
          <w:lang w:eastAsia="en-AU"/>
        </w:rPr>
        <w:t xml:space="preserve">also </w:t>
      </w:r>
      <w:r>
        <w:rPr>
          <w:lang w:eastAsia="en-AU"/>
        </w:rPr>
        <w:t>submitted that</w:t>
      </w:r>
      <w:r w:rsidR="009660C5">
        <w:rPr>
          <w:lang w:eastAsia="en-AU"/>
        </w:rPr>
        <w:t xml:space="preserve"> the</w:t>
      </w:r>
      <w:r>
        <w:rPr>
          <w:lang w:eastAsia="en-AU"/>
        </w:rPr>
        <w:t xml:space="preserve"> original layout and design of the place is important and </w:t>
      </w:r>
      <w:r w:rsidR="00C44E39">
        <w:rPr>
          <w:lang w:eastAsia="en-AU"/>
        </w:rPr>
        <w:t>that</w:t>
      </w:r>
      <w:r>
        <w:rPr>
          <w:lang w:eastAsia="en-AU"/>
        </w:rPr>
        <w:t xml:space="preserve"> </w:t>
      </w:r>
      <w:r w:rsidR="00747B1D">
        <w:rPr>
          <w:lang w:eastAsia="en-AU"/>
        </w:rPr>
        <w:t>its</w:t>
      </w:r>
      <w:r>
        <w:rPr>
          <w:lang w:eastAsia="en-AU"/>
        </w:rPr>
        <w:t xml:space="preserve"> cultural </w:t>
      </w:r>
      <w:r w:rsidR="00C44E39">
        <w:rPr>
          <w:lang w:eastAsia="en-AU"/>
        </w:rPr>
        <w:t>significance</w:t>
      </w:r>
      <w:r>
        <w:rPr>
          <w:lang w:eastAsia="en-AU"/>
        </w:rPr>
        <w:t xml:space="preserve"> depends upon the design integrity</w:t>
      </w:r>
      <w:r w:rsidR="0067124C">
        <w:rPr>
          <w:lang w:eastAsia="en-AU"/>
        </w:rPr>
        <w:t xml:space="preserve"> of each unit</w:t>
      </w:r>
      <w:r w:rsidR="00747B1D">
        <w:rPr>
          <w:lang w:eastAsia="en-AU"/>
        </w:rPr>
        <w:t xml:space="preserve"> of housing, </w:t>
      </w:r>
      <w:r>
        <w:rPr>
          <w:lang w:eastAsia="en-AU"/>
        </w:rPr>
        <w:t>its garaging and internal courtyards remaining intact.</w:t>
      </w:r>
      <w:r w:rsidR="001141BC">
        <w:rPr>
          <w:lang w:eastAsia="en-AU"/>
        </w:rPr>
        <w:t xml:space="preserve"> </w:t>
      </w:r>
      <w:r w:rsidR="00747B1D">
        <w:rPr>
          <w:lang w:eastAsia="en-AU"/>
        </w:rPr>
        <w:t>The Council</w:t>
      </w:r>
      <w:r w:rsidR="001141BC">
        <w:rPr>
          <w:lang w:eastAsia="en-AU"/>
        </w:rPr>
        <w:t xml:space="preserve"> argued that the pr</w:t>
      </w:r>
      <w:r w:rsidR="0067124C">
        <w:rPr>
          <w:lang w:eastAsia="en-AU"/>
        </w:rPr>
        <w:t>o</w:t>
      </w:r>
      <w:r w:rsidR="001141BC">
        <w:rPr>
          <w:lang w:eastAsia="en-AU"/>
        </w:rPr>
        <w:t xml:space="preserve">posed addition is </w:t>
      </w:r>
      <w:r w:rsidR="0067124C">
        <w:rPr>
          <w:lang w:eastAsia="en-AU"/>
        </w:rPr>
        <w:t>unsympathetic</w:t>
      </w:r>
      <w:r w:rsidR="001141BC">
        <w:rPr>
          <w:lang w:eastAsia="en-AU"/>
        </w:rPr>
        <w:t xml:space="preserve"> and unnecessary</w:t>
      </w:r>
      <w:r w:rsidR="00C7038C">
        <w:rPr>
          <w:lang w:eastAsia="en-AU"/>
        </w:rPr>
        <w:t xml:space="preserve"> and</w:t>
      </w:r>
      <w:r w:rsidR="001141BC">
        <w:rPr>
          <w:lang w:eastAsia="en-AU"/>
        </w:rPr>
        <w:t xml:space="preserve"> that th</w:t>
      </w:r>
      <w:r w:rsidR="0067124C">
        <w:rPr>
          <w:lang w:eastAsia="en-AU"/>
        </w:rPr>
        <w:t>e</w:t>
      </w:r>
      <w:r w:rsidR="001141BC">
        <w:rPr>
          <w:lang w:eastAsia="en-AU"/>
        </w:rPr>
        <w:t xml:space="preserve"> removal of the original entrance </w:t>
      </w:r>
      <w:proofErr w:type="spellStart"/>
      <w:r w:rsidR="001141BC">
        <w:rPr>
          <w:lang w:eastAsia="en-AU"/>
        </w:rPr>
        <w:t>verandah</w:t>
      </w:r>
      <w:proofErr w:type="spellEnd"/>
      <w:r w:rsidR="001141BC">
        <w:rPr>
          <w:lang w:eastAsia="en-AU"/>
        </w:rPr>
        <w:t xml:space="preserve"> and pergo</w:t>
      </w:r>
      <w:r w:rsidR="00B018A3">
        <w:rPr>
          <w:lang w:eastAsia="en-AU"/>
        </w:rPr>
        <w:t xml:space="preserve">la would be a loss to </w:t>
      </w:r>
      <w:r w:rsidR="001141BC">
        <w:rPr>
          <w:lang w:eastAsia="en-AU"/>
        </w:rPr>
        <w:t>integrity.</w:t>
      </w:r>
    </w:p>
    <w:p w:rsidR="002024B7" w:rsidRDefault="00B018A3" w:rsidP="00BC3642">
      <w:pPr>
        <w:numPr>
          <w:ilvl w:val="0"/>
          <w:numId w:val="16"/>
        </w:numPr>
        <w:autoSpaceDE w:val="0"/>
        <w:autoSpaceDN w:val="0"/>
        <w:adjustRightInd w:val="0"/>
        <w:spacing w:after="120" w:line="240" w:lineRule="atLeast"/>
        <w:ind w:hanging="720"/>
        <w:jc w:val="both"/>
        <w:rPr>
          <w:lang w:eastAsia="en-AU"/>
        </w:rPr>
      </w:pPr>
      <w:r>
        <w:rPr>
          <w:lang w:eastAsia="en-AU"/>
        </w:rPr>
        <w:t>Mr and Mrs Lane (‘the Lanes’)</w:t>
      </w:r>
      <w:r w:rsidR="00F03328">
        <w:rPr>
          <w:lang w:eastAsia="en-AU"/>
        </w:rPr>
        <w:t xml:space="preserve"> submitted that the </w:t>
      </w:r>
      <w:r w:rsidR="00763317">
        <w:rPr>
          <w:lang w:eastAsia="en-AU"/>
        </w:rPr>
        <w:t>proposed</w:t>
      </w:r>
      <w:r w:rsidR="00F03328">
        <w:rPr>
          <w:lang w:eastAsia="en-AU"/>
        </w:rPr>
        <w:t xml:space="preserve"> extensions will constitute a significant departure from the original design features of W</w:t>
      </w:r>
      <w:r w:rsidR="009660C5">
        <w:rPr>
          <w:lang w:eastAsia="en-AU"/>
        </w:rPr>
        <w:t>inter Park</w:t>
      </w:r>
      <w:r>
        <w:rPr>
          <w:lang w:eastAsia="en-AU"/>
        </w:rPr>
        <w:t xml:space="preserve">. They argued that a significant aspect of </w:t>
      </w:r>
      <w:r w:rsidR="005A2255">
        <w:rPr>
          <w:lang w:eastAsia="en-AU"/>
        </w:rPr>
        <w:t>the</w:t>
      </w:r>
      <w:r>
        <w:rPr>
          <w:lang w:eastAsia="en-AU"/>
        </w:rPr>
        <w:t xml:space="preserve"> design </w:t>
      </w:r>
      <w:r w:rsidR="005A2255">
        <w:rPr>
          <w:lang w:eastAsia="en-AU"/>
        </w:rPr>
        <w:t xml:space="preserve">of the place </w:t>
      </w:r>
      <w:r>
        <w:rPr>
          <w:lang w:eastAsia="en-AU"/>
        </w:rPr>
        <w:t>was</w:t>
      </w:r>
      <w:r w:rsidR="00F03328">
        <w:rPr>
          <w:lang w:eastAsia="en-AU"/>
        </w:rPr>
        <w:t xml:space="preserve"> dwellings </w:t>
      </w:r>
      <w:r>
        <w:rPr>
          <w:lang w:eastAsia="en-AU"/>
        </w:rPr>
        <w:t>being</w:t>
      </w:r>
      <w:r w:rsidR="00F03328">
        <w:rPr>
          <w:lang w:eastAsia="en-AU"/>
        </w:rPr>
        <w:t xml:space="preserve"> sited in such a way as to maximise the opportunity for </w:t>
      </w:r>
      <w:r w:rsidR="00763317">
        <w:rPr>
          <w:lang w:eastAsia="en-AU"/>
        </w:rPr>
        <w:t>individual</w:t>
      </w:r>
      <w:r w:rsidR="00F03328">
        <w:rPr>
          <w:lang w:eastAsia="en-AU"/>
        </w:rPr>
        <w:t xml:space="preserve"> residents to enjoy open spaces, courtyards and landscaping.</w:t>
      </w:r>
      <w:r w:rsidR="003904F8">
        <w:rPr>
          <w:lang w:eastAsia="en-AU"/>
        </w:rPr>
        <w:t xml:space="preserve"> </w:t>
      </w:r>
      <w:r>
        <w:rPr>
          <w:lang w:eastAsia="en-AU"/>
        </w:rPr>
        <w:t>According to t</w:t>
      </w:r>
      <w:r w:rsidR="002024B7">
        <w:rPr>
          <w:lang w:eastAsia="en-AU"/>
        </w:rPr>
        <w:t>he Lanes</w:t>
      </w:r>
      <w:r w:rsidR="00E85F34">
        <w:rPr>
          <w:lang w:eastAsia="en-AU"/>
        </w:rPr>
        <w:t>,</w:t>
      </w:r>
      <w:r w:rsidR="002024B7">
        <w:rPr>
          <w:lang w:eastAsia="en-AU"/>
        </w:rPr>
        <w:t xml:space="preserve"> </w:t>
      </w:r>
      <w:r>
        <w:rPr>
          <w:lang w:eastAsia="en-AU"/>
        </w:rPr>
        <w:t>it is significant</w:t>
      </w:r>
      <w:r w:rsidR="00763317">
        <w:rPr>
          <w:lang w:eastAsia="en-AU"/>
        </w:rPr>
        <w:t xml:space="preserve"> that no part of a dwelling abuts an </w:t>
      </w:r>
      <w:r w:rsidR="00E85F34">
        <w:rPr>
          <w:lang w:eastAsia="en-AU"/>
        </w:rPr>
        <w:t>adjoining property boundary</w:t>
      </w:r>
      <w:r w:rsidR="005A2255">
        <w:rPr>
          <w:lang w:eastAsia="en-AU"/>
        </w:rPr>
        <w:t>.</w:t>
      </w:r>
      <w:r w:rsidR="00763317">
        <w:rPr>
          <w:lang w:eastAsia="en-AU"/>
        </w:rPr>
        <w:t xml:space="preserve"> </w:t>
      </w:r>
      <w:r w:rsidR="003904F8">
        <w:rPr>
          <w:lang w:eastAsia="en-AU"/>
        </w:rPr>
        <w:t xml:space="preserve">They argued that the designers’ policy was that </w:t>
      </w:r>
      <w:proofErr w:type="gramStart"/>
      <w:r w:rsidR="003904F8">
        <w:rPr>
          <w:lang w:eastAsia="en-AU"/>
        </w:rPr>
        <w:t>a courtyard</w:t>
      </w:r>
      <w:r w:rsidR="00BD2E98">
        <w:rPr>
          <w:lang w:eastAsia="en-AU"/>
        </w:rPr>
        <w:t>s</w:t>
      </w:r>
      <w:proofErr w:type="gramEnd"/>
      <w:r w:rsidR="003904F8">
        <w:rPr>
          <w:lang w:eastAsia="en-AU"/>
        </w:rPr>
        <w:t xml:space="preserve"> </w:t>
      </w:r>
      <w:r w:rsidR="00BD2E98">
        <w:rPr>
          <w:lang w:eastAsia="en-AU"/>
        </w:rPr>
        <w:t xml:space="preserve">were </w:t>
      </w:r>
      <w:r w:rsidR="003904F8">
        <w:rPr>
          <w:lang w:eastAsia="en-AU"/>
        </w:rPr>
        <w:t>not encroached upon by a neighbouring dwelling.</w:t>
      </w:r>
    </w:p>
    <w:p w:rsidR="00E8540B" w:rsidRDefault="00EE5FBE"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The Lanes </w:t>
      </w:r>
      <w:r w:rsidR="003904F8">
        <w:rPr>
          <w:lang w:eastAsia="en-AU"/>
        </w:rPr>
        <w:t xml:space="preserve">also </w:t>
      </w:r>
      <w:r>
        <w:rPr>
          <w:lang w:eastAsia="en-AU"/>
        </w:rPr>
        <w:t>sub</w:t>
      </w:r>
      <w:r w:rsidR="00E8540B">
        <w:rPr>
          <w:lang w:eastAsia="en-AU"/>
        </w:rPr>
        <w:t xml:space="preserve">mitted that the </w:t>
      </w:r>
      <w:r w:rsidR="005A2255">
        <w:rPr>
          <w:lang w:eastAsia="en-AU"/>
        </w:rPr>
        <w:t>five</w:t>
      </w:r>
      <w:r w:rsidR="00E8540B">
        <w:rPr>
          <w:lang w:eastAsia="en-AU"/>
        </w:rPr>
        <w:t xml:space="preserve"> trees </w:t>
      </w:r>
      <w:r w:rsidR="00BD2E98">
        <w:rPr>
          <w:lang w:eastAsia="en-AU"/>
        </w:rPr>
        <w:t>proposed to</w:t>
      </w:r>
      <w:r w:rsidR="00E8540B">
        <w:rPr>
          <w:lang w:eastAsia="en-AU"/>
        </w:rPr>
        <w:t xml:space="preserve"> be removed are part of the </w:t>
      </w:r>
      <w:r w:rsidR="00B018A3">
        <w:rPr>
          <w:lang w:eastAsia="en-AU"/>
        </w:rPr>
        <w:t xml:space="preserve">significant </w:t>
      </w:r>
      <w:r w:rsidR="00E8540B">
        <w:rPr>
          <w:lang w:eastAsia="en-AU"/>
        </w:rPr>
        <w:t>Ellis Stones design</w:t>
      </w:r>
      <w:r w:rsidR="00D915B9">
        <w:rPr>
          <w:lang w:eastAsia="en-AU"/>
        </w:rPr>
        <w:t xml:space="preserve"> (</w:t>
      </w:r>
      <w:r w:rsidR="00D915B9">
        <w:t>see Statement of Significance above)</w:t>
      </w:r>
      <w:r w:rsidR="00E8540B">
        <w:rPr>
          <w:lang w:eastAsia="en-AU"/>
        </w:rPr>
        <w:t>.</w:t>
      </w:r>
    </w:p>
    <w:p w:rsidR="00C40A7D" w:rsidRDefault="00E85F34" w:rsidP="00BC3642">
      <w:pPr>
        <w:numPr>
          <w:ilvl w:val="0"/>
          <w:numId w:val="16"/>
        </w:numPr>
        <w:autoSpaceDE w:val="0"/>
        <w:autoSpaceDN w:val="0"/>
        <w:adjustRightInd w:val="0"/>
        <w:spacing w:after="120" w:line="240" w:lineRule="atLeast"/>
        <w:ind w:hanging="720"/>
        <w:jc w:val="both"/>
        <w:rPr>
          <w:lang w:eastAsia="en-AU"/>
        </w:rPr>
      </w:pPr>
      <w:r>
        <w:rPr>
          <w:lang w:eastAsia="en-AU"/>
        </w:rPr>
        <w:t>The Applicant</w:t>
      </w:r>
      <w:r w:rsidR="00FD3811">
        <w:rPr>
          <w:lang w:eastAsia="en-AU"/>
        </w:rPr>
        <w:t xml:space="preserve"> submitted that the proposed ex</w:t>
      </w:r>
      <w:r w:rsidR="005A2255">
        <w:rPr>
          <w:lang w:eastAsia="en-AU"/>
        </w:rPr>
        <w:t>tension is small in</w:t>
      </w:r>
      <w:r w:rsidR="00FD3811">
        <w:rPr>
          <w:lang w:eastAsia="en-AU"/>
        </w:rPr>
        <w:t xml:space="preserve"> size and has been located to result in the minimum</w:t>
      </w:r>
      <w:r w:rsidR="004345BE">
        <w:rPr>
          <w:lang w:eastAsia="en-AU"/>
        </w:rPr>
        <w:t xml:space="preserve"> degree of ch</w:t>
      </w:r>
      <w:r w:rsidR="00FD3811">
        <w:rPr>
          <w:lang w:eastAsia="en-AU"/>
        </w:rPr>
        <w:t xml:space="preserve">ange to </w:t>
      </w:r>
      <w:r>
        <w:rPr>
          <w:lang w:eastAsia="en-AU"/>
        </w:rPr>
        <w:t>Winter Park</w:t>
      </w:r>
      <w:r w:rsidR="00FD3811">
        <w:rPr>
          <w:lang w:eastAsia="en-AU"/>
        </w:rPr>
        <w:t>.</w:t>
      </w:r>
      <w:r w:rsidR="003904F8">
        <w:rPr>
          <w:lang w:eastAsia="en-AU"/>
        </w:rPr>
        <w:t xml:space="preserve"> He argued</w:t>
      </w:r>
      <w:r w:rsidR="00C40A7D">
        <w:rPr>
          <w:lang w:eastAsia="en-AU"/>
        </w:rPr>
        <w:t xml:space="preserve"> that</w:t>
      </w:r>
      <w:r w:rsidR="004345BE">
        <w:rPr>
          <w:lang w:eastAsia="en-AU"/>
        </w:rPr>
        <w:t xml:space="preserve"> </w:t>
      </w:r>
      <w:r w:rsidR="00C40A7D">
        <w:rPr>
          <w:lang w:eastAsia="en-AU"/>
        </w:rPr>
        <w:t xml:space="preserve">the addition will be concealed </w:t>
      </w:r>
      <w:r w:rsidR="00BD2E98">
        <w:rPr>
          <w:lang w:eastAsia="en-AU"/>
        </w:rPr>
        <w:t xml:space="preserve">when viewed </w:t>
      </w:r>
      <w:r w:rsidR="00C40A7D">
        <w:rPr>
          <w:lang w:eastAsia="en-AU"/>
        </w:rPr>
        <w:t>from almost all</w:t>
      </w:r>
      <w:r w:rsidR="00BD2E98">
        <w:rPr>
          <w:lang w:eastAsia="en-AU"/>
        </w:rPr>
        <w:t xml:space="preserve"> aspects </w:t>
      </w:r>
      <w:r w:rsidR="00C40A7D">
        <w:rPr>
          <w:lang w:eastAsia="en-AU"/>
        </w:rPr>
        <w:t>of the adjacent central common courtyard and will</w:t>
      </w:r>
      <w:r w:rsidR="003904F8">
        <w:rPr>
          <w:lang w:eastAsia="en-AU"/>
        </w:rPr>
        <w:t xml:space="preserve"> be fully concealed from </w:t>
      </w:r>
      <w:r w:rsidR="00C40A7D">
        <w:rPr>
          <w:lang w:eastAsia="en-AU"/>
        </w:rPr>
        <w:t xml:space="preserve">the remainder of the </w:t>
      </w:r>
      <w:proofErr w:type="gramStart"/>
      <w:r w:rsidR="00C40A7D">
        <w:rPr>
          <w:lang w:eastAsia="en-AU"/>
        </w:rPr>
        <w:t>complex,</w:t>
      </w:r>
      <w:proofErr w:type="gramEnd"/>
      <w:r w:rsidR="00C40A7D">
        <w:rPr>
          <w:lang w:eastAsia="en-AU"/>
        </w:rPr>
        <w:t xml:space="preserve"> therefore the impact on significance will be minimal.</w:t>
      </w:r>
    </w:p>
    <w:p w:rsidR="003904F8" w:rsidRDefault="005F727D" w:rsidP="003904F8">
      <w:pPr>
        <w:numPr>
          <w:ilvl w:val="0"/>
          <w:numId w:val="16"/>
        </w:numPr>
        <w:autoSpaceDE w:val="0"/>
        <w:autoSpaceDN w:val="0"/>
        <w:adjustRightInd w:val="0"/>
        <w:spacing w:after="120" w:line="240" w:lineRule="atLeast"/>
        <w:ind w:hanging="720"/>
        <w:jc w:val="both"/>
        <w:rPr>
          <w:lang w:eastAsia="en-AU"/>
        </w:rPr>
      </w:pPr>
      <w:r>
        <w:rPr>
          <w:lang w:eastAsia="en-AU"/>
        </w:rPr>
        <w:t xml:space="preserve">Mr Bick </w:t>
      </w:r>
      <w:r w:rsidR="00E85F34">
        <w:rPr>
          <w:lang w:eastAsia="en-AU"/>
        </w:rPr>
        <w:t>in</w:t>
      </w:r>
      <w:r w:rsidR="00747B1D">
        <w:rPr>
          <w:lang w:eastAsia="en-AU"/>
        </w:rPr>
        <w:t xml:space="preserve"> </w:t>
      </w:r>
      <w:r w:rsidR="005A48B8">
        <w:rPr>
          <w:lang w:eastAsia="en-AU"/>
        </w:rPr>
        <w:t xml:space="preserve">his </w:t>
      </w:r>
      <w:r w:rsidR="00747B1D">
        <w:rPr>
          <w:lang w:eastAsia="en-AU"/>
        </w:rPr>
        <w:t xml:space="preserve">Impact Statement </w:t>
      </w:r>
      <w:r>
        <w:rPr>
          <w:lang w:eastAsia="en-AU"/>
        </w:rPr>
        <w:t xml:space="preserve">argued that the only expected detrimental impact will be that </w:t>
      </w:r>
      <w:r w:rsidR="00803681">
        <w:rPr>
          <w:lang w:eastAsia="en-AU"/>
        </w:rPr>
        <w:t xml:space="preserve">as </w:t>
      </w:r>
      <w:r>
        <w:rPr>
          <w:lang w:eastAsia="en-AU"/>
        </w:rPr>
        <w:t xml:space="preserve">an alteration is being made </w:t>
      </w:r>
      <w:r w:rsidR="005A48B8">
        <w:rPr>
          <w:lang w:eastAsia="en-AU"/>
        </w:rPr>
        <w:t>to the original design</w:t>
      </w:r>
      <w:r w:rsidR="00D915B9">
        <w:rPr>
          <w:lang w:eastAsia="en-AU"/>
        </w:rPr>
        <w:t xml:space="preserve">, </w:t>
      </w:r>
      <w:r>
        <w:rPr>
          <w:lang w:eastAsia="en-AU"/>
        </w:rPr>
        <w:t xml:space="preserve">the </w:t>
      </w:r>
      <w:r w:rsidR="004345BE">
        <w:rPr>
          <w:lang w:eastAsia="en-AU"/>
        </w:rPr>
        <w:t>intactness</w:t>
      </w:r>
      <w:r>
        <w:rPr>
          <w:lang w:eastAsia="en-AU"/>
        </w:rPr>
        <w:t xml:space="preserve"> of the </w:t>
      </w:r>
      <w:r w:rsidR="004345BE">
        <w:rPr>
          <w:lang w:eastAsia="en-AU"/>
        </w:rPr>
        <w:t>place</w:t>
      </w:r>
      <w:r>
        <w:rPr>
          <w:lang w:eastAsia="en-AU"/>
        </w:rPr>
        <w:t xml:space="preserve"> will be reduced by a small amount. In</w:t>
      </w:r>
      <w:r w:rsidR="00747B1D">
        <w:rPr>
          <w:lang w:eastAsia="en-AU"/>
        </w:rPr>
        <w:t xml:space="preserve"> </w:t>
      </w:r>
      <w:r w:rsidR="005A48B8">
        <w:rPr>
          <w:lang w:eastAsia="en-AU"/>
        </w:rPr>
        <w:t>his</w:t>
      </w:r>
      <w:r w:rsidR="00747B1D">
        <w:rPr>
          <w:lang w:eastAsia="en-AU"/>
        </w:rPr>
        <w:t xml:space="preserve"> </w:t>
      </w:r>
      <w:r>
        <w:rPr>
          <w:lang w:eastAsia="en-AU"/>
        </w:rPr>
        <w:t>view</w:t>
      </w:r>
      <w:r w:rsidR="003904F8">
        <w:rPr>
          <w:lang w:eastAsia="en-AU"/>
        </w:rPr>
        <w:t>,</w:t>
      </w:r>
      <w:r>
        <w:rPr>
          <w:lang w:eastAsia="en-AU"/>
        </w:rPr>
        <w:t xml:space="preserve"> this small addition </w:t>
      </w:r>
      <w:r w:rsidR="00E85F34">
        <w:rPr>
          <w:lang w:eastAsia="en-AU"/>
        </w:rPr>
        <w:t>is</w:t>
      </w:r>
      <w:r>
        <w:rPr>
          <w:lang w:eastAsia="en-AU"/>
        </w:rPr>
        <w:t xml:space="preserve"> not unreasonable and could be reversed in the future.</w:t>
      </w:r>
      <w:r w:rsidR="005A48B8">
        <w:rPr>
          <w:lang w:eastAsia="en-AU"/>
        </w:rPr>
        <w:t xml:space="preserve"> He noted</w:t>
      </w:r>
      <w:r w:rsidR="00747B1D">
        <w:rPr>
          <w:lang w:eastAsia="en-AU"/>
        </w:rPr>
        <w:t xml:space="preserve"> </w:t>
      </w:r>
      <w:r w:rsidR="003752B5">
        <w:rPr>
          <w:lang w:eastAsia="en-AU"/>
        </w:rPr>
        <w:t>that the area proposed to be built on was always intended to be a ‘service area’ not a principal outdoor area</w:t>
      </w:r>
      <w:r w:rsidR="005A48B8">
        <w:rPr>
          <w:lang w:eastAsia="en-AU"/>
        </w:rPr>
        <w:t>.</w:t>
      </w:r>
    </w:p>
    <w:p w:rsidR="00080215" w:rsidRDefault="003904F8" w:rsidP="003904F8">
      <w:pPr>
        <w:numPr>
          <w:ilvl w:val="0"/>
          <w:numId w:val="16"/>
        </w:numPr>
        <w:autoSpaceDE w:val="0"/>
        <w:autoSpaceDN w:val="0"/>
        <w:adjustRightInd w:val="0"/>
        <w:spacing w:after="120" w:line="240" w:lineRule="atLeast"/>
        <w:ind w:hanging="720"/>
        <w:jc w:val="both"/>
        <w:rPr>
          <w:lang w:eastAsia="en-AU"/>
        </w:rPr>
      </w:pPr>
      <w:r>
        <w:rPr>
          <w:lang w:eastAsia="en-AU"/>
        </w:rPr>
        <w:t>Mr Bick</w:t>
      </w:r>
      <w:r w:rsidR="00E85F34">
        <w:rPr>
          <w:lang w:eastAsia="en-AU"/>
        </w:rPr>
        <w:t xml:space="preserve"> also </w:t>
      </w:r>
      <w:r w:rsidR="00D915B9">
        <w:rPr>
          <w:lang w:eastAsia="en-AU"/>
        </w:rPr>
        <w:t xml:space="preserve">held </w:t>
      </w:r>
      <w:r w:rsidR="00E85F34">
        <w:rPr>
          <w:lang w:eastAsia="en-AU"/>
        </w:rPr>
        <w:t xml:space="preserve">that </w:t>
      </w:r>
      <w:r>
        <w:rPr>
          <w:lang w:eastAsia="en-AU"/>
        </w:rPr>
        <w:t>the development will be largely conce</w:t>
      </w:r>
      <w:r w:rsidR="003752B5">
        <w:rPr>
          <w:lang w:eastAsia="en-AU"/>
        </w:rPr>
        <w:t>aled</w:t>
      </w:r>
      <w:r>
        <w:rPr>
          <w:lang w:eastAsia="en-AU"/>
        </w:rPr>
        <w:t xml:space="preserve">. According to </w:t>
      </w:r>
      <w:r w:rsidR="00E85F34">
        <w:rPr>
          <w:lang w:eastAsia="en-AU"/>
        </w:rPr>
        <w:t>him</w:t>
      </w:r>
      <w:r>
        <w:rPr>
          <w:lang w:eastAsia="en-AU"/>
        </w:rPr>
        <w:t>, the exterior of the proposed addition will be in harmony with the existing house by being of a similar appearance but not exactly replicating the original, in accordance with Burra Charter principles.</w:t>
      </w:r>
    </w:p>
    <w:p w:rsidR="00FD7879" w:rsidRPr="003B56C9" w:rsidRDefault="00FD7879" w:rsidP="00FD7879">
      <w:pPr>
        <w:pStyle w:val="Para1"/>
        <w:numPr>
          <w:ilvl w:val="0"/>
          <w:numId w:val="0"/>
        </w:numPr>
        <w:rPr>
          <w:i/>
        </w:rPr>
      </w:pPr>
      <w:r>
        <w:rPr>
          <w:i/>
        </w:rPr>
        <w:t>Impacts on 149 High Street</w:t>
      </w:r>
    </w:p>
    <w:p w:rsidR="00FD7879" w:rsidRPr="003B56C9" w:rsidRDefault="00FD7879" w:rsidP="00FD7879">
      <w:pPr>
        <w:numPr>
          <w:ilvl w:val="0"/>
          <w:numId w:val="16"/>
        </w:numPr>
        <w:autoSpaceDE w:val="0"/>
        <w:autoSpaceDN w:val="0"/>
        <w:adjustRightInd w:val="0"/>
        <w:spacing w:after="120" w:line="240" w:lineRule="atLeast"/>
        <w:ind w:hanging="720"/>
        <w:jc w:val="both"/>
        <w:rPr>
          <w:lang w:eastAsia="en-AU"/>
        </w:rPr>
      </w:pPr>
      <w:r>
        <w:rPr>
          <w:lang w:eastAsia="en-AU"/>
        </w:rPr>
        <w:t>The Committee received submissions about the impact of the proposal on the amenity of 149 High Street, also part of the registered place.</w:t>
      </w:r>
    </w:p>
    <w:p w:rsidR="00FD7879" w:rsidRDefault="00FD7879" w:rsidP="00FD7879">
      <w:pPr>
        <w:numPr>
          <w:ilvl w:val="0"/>
          <w:numId w:val="16"/>
        </w:numPr>
        <w:autoSpaceDE w:val="0"/>
        <w:autoSpaceDN w:val="0"/>
        <w:adjustRightInd w:val="0"/>
        <w:spacing w:after="120" w:line="240" w:lineRule="atLeast"/>
        <w:ind w:hanging="720"/>
        <w:jc w:val="both"/>
        <w:rPr>
          <w:lang w:eastAsia="en-AU"/>
        </w:rPr>
      </w:pPr>
      <w:r>
        <w:rPr>
          <w:lang w:eastAsia="en-AU"/>
        </w:rPr>
        <w:t>The Lanes submitted that the proposed works will have a detrimental impact on the outlook from the adjoining property at 149 High Street and will cause a loss of amenity, especially in relation to the use of the rear courtyard. The rear courtyard of 149 abuts the rear courtyard of 147 – the location of the proposed extension. The Lanes submitted that the proposed extension would effectively enclose the courtyard of 149 on three sides, where it was previously not enclosed at all. In the Lanes’ view, this would constitute a serious loss of amenity to the courtyard and other areas of 149 and would be a significant departure from the original design of Winter Park, which aimed to maximise the opportunity for individual residents to enjoy open spaces, courtyards and landscaping through shared aspect, light and landscape</w:t>
      </w:r>
    </w:p>
    <w:p w:rsidR="00FD7879" w:rsidRDefault="00FD7879" w:rsidP="00FD7879">
      <w:pPr>
        <w:numPr>
          <w:ilvl w:val="0"/>
          <w:numId w:val="16"/>
        </w:numPr>
        <w:autoSpaceDE w:val="0"/>
        <w:autoSpaceDN w:val="0"/>
        <w:adjustRightInd w:val="0"/>
        <w:spacing w:after="120" w:line="240" w:lineRule="atLeast"/>
        <w:ind w:hanging="720"/>
        <w:jc w:val="both"/>
        <w:rPr>
          <w:lang w:eastAsia="en-AU"/>
        </w:rPr>
      </w:pPr>
      <w:r>
        <w:rPr>
          <w:lang w:eastAsia="en-AU"/>
        </w:rPr>
        <w:t>The Lanes submitted that the trees that are proposed to be removed shade the rear courtyard of 149 from the northern sun.</w:t>
      </w:r>
    </w:p>
    <w:p w:rsidR="00FD7879" w:rsidRDefault="00FD7879" w:rsidP="00FD7879">
      <w:pPr>
        <w:numPr>
          <w:ilvl w:val="0"/>
          <w:numId w:val="16"/>
        </w:numPr>
        <w:autoSpaceDE w:val="0"/>
        <w:autoSpaceDN w:val="0"/>
        <w:adjustRightInd w:val="0"/>
        <w:spacing w:after="120" w:line="240" w:lineRule="atLeast"/>
        <w:ind w:hanging="720"/>
        <w:jc w:val="both"/>
        <w:rPr>
          <w:lang w:eastAsia="en-AU"/>
        </w:rPr>
      </w:pPr>
      <w:r>
        <w:rPr>
          <w:lang w:eastAsia="en-AU"/>
        </w:rPr>
        <w:t>The Applicant submitted that the proposed addition will have a relatively low visual impact on 149 due to its floor level being around one metre lower. It was also argued that extensive vegetation on the common boundary will screen the proposed addition. Mr Bick’s Impact Statement did not consider the impacts of the proposal on 149 High Street.</w:t>
      </w:r>
    </w:p>
    <w:p w:rsidR="00040AE2" w:rsidRPr="003B56C9" w:rsidRDefault="00040AE2" w:rsidP="00BC3642">
      <w:pPr>
        <w:pStyle w:val="Para1"/>
        <w:numPr>
          <w:ilvl w:val="0"/>
          <w:numId w:val="0"/>
        </w:numPr>
        <w:rPr>
          <w:i/>
        </w:rPr>
      </w:pPr>
      <w:r w:rsidRPr="003B56C9">
        <w:rPr>
          <w:i/>
        </w:rPr>
        <w:t>Discussion and conclusion</w:t>
      </w:r>
    </w:p>
    <w:p w:rsidR="005A48B8" w:rsidRDefault="005A48B8" w:rsidP="00BC3642">
      <w:pPr>
        <w:numPr>
          <w:ilvl w:val="0"/>
          <w:numId w:val="16"/>
        </w:numPr>
        <w:autoSpaceDE w:val="0"/>
        <w:autoSpaceDN w:val="0"/>
        <w:adjustRightInd w:val="0"/>
        <w:spacing w:after="120" w:line="240" w:lineRule="atLeast"/>
        <w:ind w:hanging="720"/>
        <w:jc w:val="both"/>
        <w:rPr>
          <w:lang w:eastAsia="en-AU"/>
        </w:rPr>
      </w:pPr>
      <w:r>
        <w:rPr>
          <w:lang w:eastAsia="en-AU"/>
        </w:rPr>
        <w:t>In the Committee’s view</w:t>
      </w:r>
      <w:r w:rsidR="00803681">
        <w:rPr>
          <w:lang w:eastAsia="en-AU"/>
        </w:rPr>
        <w:t>,</w:t>
      </w:r>
      <w:r>
        <w:rPr>
          <w:lang w:eastAsia="en-AU"/>
        </w:rPr>
        <w:t xml:space="preserve"> the proposed development will have a detrimental impact on the cultural heri</w:t>
      </w:r>
      <w:r w:rsidR="00E05B68">
        <w:rPr>
          <w:lang w:eastAsia="en-AU"/>
        </w:rPr>
        <w:t>tage significance of the place</w:t>
      </w:r>
      <w:r w:rsidR="00FE5C34">
        <w:rPr>
          <w:lang w:eastAsia="en-AU"/>
        </w:rPr>
        <w:t>. The proposed development will result in</w:t>
      </w:r>
      <w:r w:rsidR="001A2E84">
        <w:rPr>
          <w:lang w:eastAsia="en-AU"/>
        </w:rPr>
        <w:t xml:space="preserve"> a loss</w:t>
      </w:r>
      <w:r w:rsidR="00B12DBC">
        <w:rPr>
          <w:lang w:eastAsia="en-AU"/>
        </w:rPr>
        <w:t xml:space="preserve"> of the design intent</w:t>
      </w:r>
      <w:r w:rsidR="00FE5C34">
        <w:rPr>
          <w:lang w:eastAsia="en-AU"/>
        </w:rPr>
        <w:t>,</w:t>
      </w:r>
      <w:r w:rsidR="00B12DBC">
        <w:rPr>
          <w:lang w:eastAsia="en-AU"/>
        </w:rPr>
        <w:t xml:space="preserve"> which </w:t>
      </w:r>
      <w:r w:rsidR="00FE5C34">
        <w:rPr>
          <w:lang w:eastAsia="en-AU"/>
        </w:rPr>
        <w:t>at present is readily appreciated</w:t>
      </w:r>
      <w:r w:rsidR="00B12DBC">
        <w:rPr>
          <w:lang w:eastAsia="en-AU"/>
        </w:rPr>
        <w:t>.</w:t>
      </w:r>
    </w:p>
    <w:p w:rsidR="005A48B8" w:rsidRDefault="005A48B8"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The Committee notes that the Permit </w:t>
      </w:r>
      <w:r w:rsidRPr="006D105A">
        <w:rPr>
          <w:lang w:eastAsia="en-AU"/>
        </w:rPr>
        <w:t>Policy</w:t>
      </w:r>
      <w:r>
        <w:rPr>
          <w:lang w:eastAsia="en-AU"/>
        </w:rPr>
        <w:t xml:space="preserve"> for the place states that it is ‘</w:t>
      </w:r>
      <w:r w:rsidRPr="006D105A">
        <w:rPr>
          <w:lang w:eastAsia="en-AU"/>
        </w:rPr>
        <w:t>significant for its layout and landscaping</w:t>
      </w:r>
      <w:r>
        <w:rPr>
          <w:lang w:eastAsia="en-AU"/>
        </w:rPr>
        <w:t xml:space="preserve"> </w:t>
      </w:r>
      <w:r w:rsidRPr="006D105A">
        <w:rPr>
          <w:lang w:eastAsia="en-AU"/>
        </w:rPr>
        <w:t>and for the relationship of the individual buildings to the cluster rather</w:t>
      </w:r>
      <w:r>
        <w:rPr>
          <w:lang w:eastAsia="en-AU"/>
        </w:rPr>
        <w:t xml:space="preserve"> </w:t>
      </w:r>
      <w:r w:rsidRPr="006D105A">
        <w:rPr>
          <w:lang w:eastAsia="en-AU"/>
        </w:rPr>
        <w:t>than their individual qualities, particularly their interiors</w:t>
      </w:r>
      <w:r>
        <w:rPr>
          <w:lang w:eastAsia="en-AU"/>
        </w:rPr>
        <w:t>’.</w:t>
      </w:r>
    </w:p>
    <w:p w:rsidR="003746E3" w:rsidRDefault="005A48B8" w:rsidP="00BC3642">
      <w:pPr>
        <w:numPr>
          <w:ilvl w:val="0"/>
          <w:numId w:val="16"/>
        </w:numPr>
        <w:autoSpaceDE w:val="0"/>
        <w:autoSpaceDN w:val="0"/>
        <w:adjustRightInd w:val="0"/>
        <w:spacing w:after="120" w:line="240" w:lineRule="atLeast"/>
        <w:ind w:hanging="720"/>
        <w:jc w:val="both"/>
        <w:rPr>
          <w:lang w:eastAsia="en-AU"/>
        </w:rPr>
      </w:pPr>
      <w:r>
        <w:rPr>
          <w:lang w:eastAsia="en-AU"/>
        </w:rPr>
        <w:t>In the Committee’s view, the l</w:t>
      </w:r>
      <w:r w:rsidR="003746E3">
        <w:rPr>
          <w:lang w:eastAsia="en-AU"/>
        </w:rPr>
        <w:t>ayout of dwellings and open space is</w:t>
      </w:r>
      <w:r>
        <w:rPr>
          <w:lang w:eastAsia="en-AU"/>
        </w:rPr>
        <w:t xml:space="preserve"> a</w:t>
      </w:r>
      <w:r w:rsidR="003746E3">
        <w:rPr>
          <w:lang w:eastAsia="en-AU"/>
        </w:rPr>
        <w:t xml:space="preserve"> significant aspect </w:t>
      </w:r>
      <w:r>
        <w:rPr>
          <w:lang w:eastAsia="en-AU"/>
        </w:rPr>
        <w:t>of the place. The w</w:t>
      </w:r>
      <w:r w:rsidR="003746E3">
        <w:rPr>
          <w:lang w:eastAsia="en-AU"/>
        </w:rPr>
        <w:t xml:space="preserve">ay that each property interacts – allowing private space, interaction of light and trees, </w:t>
      </w:r>
      <w:r>
        <w:rPr>
          <w:lang w:eastAsia="en-AU"/>
        </w:rPr>
        <w:t xml:space="preserve">and the </w:t>
      </w:r>
      <w:r w:rsidR="003746E3">
        <w:rPr>
          <w:lang w:eastAsia="en-AU"/>
        </w:rPr>
        <w:t xml:space="preserve">benefit of </w:t>
      </w:r>
      <w:r w:rsidR="00A037E3">
        <w:rPr>
          <w:lang w:eastAsia="en-AU"/>
        </w:rPr>
        <w:t>shared</w:t>
      </w:r>
      <w:r w:rsidR="003746E3">
        <w:rPr>
          <w:lang w:eastAsia="en-AU"/>
        </w:rPr>
        <w:t xml:space="preserve"> open space</w:t>
      </w:r>
      <w:r>
        <w:rPr>
          <w:lang w:eastAsia="en-AU"/>
        </w:rPr>
        <w:t xml:space="preserve"> is also considered to be significant</w:t>
      </w:r>
      <w:r w:rsidR="0014262B">
        <w:rPr>
          <w:lang w:eastAsia="en-AU"/>
        </w:rPr>
        <w:t xml:space="preserve">. </w:t>
      </w:r>
      <w:r w:rsidR="003746E3">
        <w:rPr>
          <w:lang w:eastAsia="en-AU"/>
        </w:rPr>
        <w:t>Each property has ‘respect’ for adjoining properties</w:t>
      </w:r>
      <w:r w:rsidR="00A037E3">
        <w:rPr>
          <w:lang w:eastAsia="en-AU"/>
        </w:rPr>
        <w:t xml:space="preserve"> and t</w:t>
      </w:r>
      <w:r w:rsidR="0014262B">
        <w:rPr>
          <w:lang w:eastAsia="en-AU"/>
        </w:rPr>
        <w:t>he de</w:t>
      </w:r>
      <w:r w:rsidR="0053490F">
        <w:rPr>
          <w:lang w:eastAsia="en-AU"/>
        </w:rPr>
        <w:t>s</w:t>
      </w:r>
      <w:r w:rsidR="0014262B">
        <w:rPr>
          <w:lang w:eastAsia="en-AU"/>
        </w:rPr>
        <w:t>ign encourages a culture of sharing.</w:t>
      </w:r>
      <w:r w:rsidR="00E05B68">
        <w:rPr>
          <w:lang w:eastAsia="en-AU"/>
        </w:rPr>
        <w:t xml:space="preserve"> </w:t>
      </w:r>
      <w:r w:rsidR="001A2E84">
        <w:rPr>
          <w:lang w:eastAsia="en-AU"/>
        </w:rPr>
        <w:t>The f</w:t>
      </w:r>
      <w:r w:rsidR="00E05B68">
        <w:rPr>
          <w:lang w:eastAsia="en-AU"/>
        </w:rPr>
        <w:t xml:space="preserve">ront porch and entry </w:t>
      </w:r>
      <w:r w:rsidR="001A2E84">
        <w:rPr>
          <w:lang w:eastAsia="en-AU"/>
        </w:rPr>
        <w:t xml:space="preserve">area </w:t>
      </w:r>
      <w:r w:rsidR="00E05B68">
        <w:rPr>
          <w:lang w:eastAsia="en-AU"/>
        </w:rPr>
        <w:t>is a strong and consistent element through</w:t>
      </w:r>
      <w:r w:rsidR="00A037E3">
        <w:rPr>
          <w:lang w:eastAsia="en-AU"/>
        </w:rPr>
        <w:t>out</w:t>
      </w:r>
      <w:r w:rsidR="00E05B68">
        <w:rPr>
          <w:lang w:eastAsia="en-AU"/>
        </w:rPr>
        <w:t xml:space="preserve"> the place. Changing this </w:t>
      </w:r>
      <w:r w:rsidR="001A2E84">
        <w:rPr>
          <w:lang w:eastAsia="en-AU"/>
        </w:rPr>
        <w:t xml:space="preserve">in </w:t>
      </w:r>
      <w:r w:rsidR="006D2A3E">
        <w:rPr>
          <w:lang w:eastAsia="en-AU"/>
        </w:rPr>
        <w:t>the</w:t>
      </w:r>
      <w:r w:rsidR="001A2E84">
        <w:rPr>
          <w:lang w:eastAsia="en-AU"/>
        </w:rPr>
        <w:t xml:space="preserve"> manner </w:t>
      </w:r>
      <w:r w:rsidR="006D2A3E">
        <w:rPr>
          <w:lang w:eastAsia="en-AU"/>
        </w:rPr>
        <w:t xml:space="preserve">proposed </w:t>
      </w:r>
      <w:r w:rsidR="00E05B68">
        <w:rPr>
          <w:lang w:eastAsia="en-AU"/>
        </w:rPr>
        <w:t xml:space="preserve">is considered to be detrimental </w:t>
      </w:r>
      <w:r w:rsidR="00A037E3">
        <w:rPr>
          <w:lang w:eastAsia="en-AU"/>
        </w:rPr>
        <w:t>to the significance of the place</w:t>
      </w:r>
      <w:r w:rsidR="00E05B68">
        <w:rPr>
          <w:lang w:eastAsia="en-AU"/>
        </w:rPr>
        <w:t xml:space="preserve">. </w:t>
      </w:r>
    </w:p>
    <w:p w:rsidR="00E05B68" w:rsidRDefault="005A48B8" w:rsidP="003752B5">
      <w:pPr>
        <w:numPr>
          <w:ilvl w:val="0"/>
          <w:numId w:val="16"/>
        </w:numPr>
        <w:autoSpaceDE w:val="0"/>
        <w:autoSpaceDN w:val="0"/>
        <w:adjustRightInd w:val="0"/>
        <w:spacing w:after="120" w:line="240" w:lineRule="atLeast"/>
        <w:ind w:hanging="720"/>
        <w:jc w:val="both"/>
        <w:rPr>
          <w:lang w:eastAsia="en-AU"/>
        </w:rPr>
      </w:pPr>
      <w:r>
        <w:rPr>
          <w:lang w:eastAsia="en-AU"/>
        </w:rPr>
        <w:t>The Committee finds that the form and size of the proposed addition is inappropriate. The h</w:t>
      </w:r>
      <w:r w:rsidR="003746E3">
        <w:rPr>
          <w:lang w:eastAsia="en-AU"/>
        </w:rPr>
        <w:t>ipped roof form</w:t>
      </w:r>
      <w:r w:rsidR="001A2E84">
        <w:rPr>
          <w:lang w:eastAsia="en-AU"/>
        </w:rPr>
        <w:t>, being foreign to the design ethic,</w:t>
      </w:r>
      <w:r w:rsidR="003746E3">
        <w:rPr>
          <w:lang w:eastAsia="en-AU"/>
        </w:rPr>
        <w:t xml:space="preserve"> </w:t>
      </w:r>
      <w:r w:rsidR="00E05B68">
        <w:rPr>
          <w:lang w:eastAsia="en-AU"/>
        </w:rPr>
        <w:t xml:space="preserve">is considered to be </w:t>
      </w:r>
      <w:r w:rsidR="003746E3">
        <w:rPr>
          <w:lang w:eastAsia="en-AU"/>
        </w:rPr>
        <w:t>unsympathetic</w:t>
      </w:r>
      <w:r w:rsidR="00E05B68">
        <w:rPr>
          <w:lang w:eastAsia="en-AU"/>
        </w:rPr>
        <w:t xml:space="preserve"> and the</w:t>
      </w:r>
      <w:r w:rsidR="00C506CA">
        <w:rPr>
          <w:lang w:eastAsia="en-AU"/>
        </w:rPr>
        <w:t xml:space="preserve"> </w:t>
      </w:r>
      <w:r w:rsidR="00713328">
        <w:rPr>
          <w:lang w:eastAsia="en-AU"/>
        </w:rPr>
        <w:t>overall size too large</w:t>
      </w:r>
      <w:r w:rsidR="0014262B">
        <w:rPr>
          <w:lang w:eastAsia="en-AU"/>
        </w:rPr>
        <w:t>.</w:t>
      </w:r>
      <w:r w:rsidR="00855E73">
        <w:rPr>
          <w:lang w:eastAsia="en-AU"/>
        </w:rPr>
        <w:t xml:space="preserve"> </w:t>
      </w:r>
    </w:p>
    <w:p w:rsidR="003752B5" w:rsidRDefault="00A037E3" w:rsidP="003752B5">
      <w:pPr>
        <w:numPr>
          <w:ilvl w:val="0"/>
          <w:numId w:val="16"/>
        </w:numPr>
        <w:autoSpaceDE w:val="0"/>
        <w:autoSpaceDN w:val="0"/>
        <w:adjustRightInd w:val="0"/>
        <w:spacing w:after="120" w:line="240" w:lineRule="atLeast"/>
        <w:ind w:hanging="720"/>
        <w:jc w:val="both"/>
        <w:rPr>
          <w:lang w:eastAsia="en-AU"/>
        </w:rPr>
      </w:pPr>
      <w:r>
        <w:rPr>
          <w:lang w:eastAsia="en-AU"/>
        </w:rPr>
        <w:t>The Committee notes Mr Bick’s claim that the development would largely be concealed</w:t>
      </w:r>
      <w:r w:rsidR="003904F8">
        <w:rPr>
          <w:lang w:eastAsia="en-AU"/>
        </w:rPr>
        <w:t xml:space="preserve">. </w:t>
      </w:r>
      <w:r w:rsidR="000C3C5F">
        <w:rPr>
          <w:lang w:eastAsia="en-AU"/>
        </w:rPr>
        <w:t>However, a</w:t>
      </w:r>
      <w:r w:rsidR="001A2E84">
        <w:rPr>
          <w:lang w:eastAsia="en-AU"/>
        </w:rPr>
        <w:t xml:space="preserve"> </w:t>
      </w:r>
      <w:r w:rsidR="000C3C5F">
        <w:rPr>
          <w:lang w:eastAsia="en-AU"/>
        </w:rPr>
        <w:t>factor</w:t>
      </w:r>
      <w:r w:rsidR="001A2E84">
        <w:rPr>
          <w:lang w:eastAsia="en-AU"/>
        </w:rPr>
        <w:t xml:space="preserve"> that </w:t>
      </w:r>
      <w:r w:rsidR="000C3C5F">
        <w:rPr>
          <w:lang w:eastAsia="en-AU"/>
        </w:rPr>
        <w:t>he</w:t>
      </w:r>
      <w:r w:rsidR="003752B5">
        <w:rPr>
          <w:lang w:eastAsia="en-AU"/>
        </w:rPr>
        <w:t xml:space="preserve"> </w:t>
      </w:r>
      <w:r w:rsidR="007F2E58">
        <w:rPr>
          <w:lang w:eastAsia="en-AU"/>
        </w:rPr>
        <w:t xml:space="preserve">did </w:t>
      </w:r>
      <w:r w:rsidR="003752B5">
        <w:rPr>
          <w:lang w:eastAsia="en-AU"/>
        </w:rPr>
        <w:t xml:space="preserve">not take into account </w:t>
      </w:r>
      <w:r w:rsidR="001A2E84">
        <w:rPr>
          <w:lang w:eastAsia="en-AU"/>
        </w:rPr>
        <w:t xml:space="preserve">is </w:t>
      </w:r>
      <w:r w:rsidR="003752B5">
        <w:rPr>
          <w:lang w:eastAsia="en-AU"/>
        </w:rPr>
        <w:t>that most of the tree canopy will be removed as part of the works</w:t>
      </w:r>
      <w:r w:rsidR="00B12DBC">
        <w:rPr>
          <w:lang w:eastAsia="en-AU"/>
        </w:rPr>
        <w:t xml:space="preserve"> as most of the taller trees are in the subject area. These trees are part of the</w:t>
      </w:r>
      <w:r w:rsidR="00803681">
        <w:rPr>
          <w:lang w:eastAsia="en-AU"/>
        </w:rPr>
        <w:t xml:space="preserve"> visible</w:t>
      </w:r>
      <w:r w:rsidR="00B12DBC">
        <w:rPr>
          <w:lang w:eastAsia="en-AU"/>
        </w:rPr>
        <w:t xml:space="preserve"> landscape for </w:t>
      </w:r>
      <w:proofErr w:type="gramStart"/>
      <w:r w:rsidR="00B12DBC">
        <w:rPr>
          <w:lang w:eastAsia="en-AU"/>
        </w:rPr>
        <w:t>both 147</w:t>
      </w:r>
      <w:proofErr w:type="gramEnd"/>
      <w:r w:rsidR="00B12DBC">
        <w:rPr>
          <w:lang w:eastAsia="en-AU"/>
        </w:rPr>
        <w:t xml:space="preserve"> and 149 as well as the shared driveway/entry area.</w:t>
      </w:r>
      <w:r>
        <w:rPr>
          <w:lang w:eastAsia="en-AU"/>
        </w:rPr>
        <w:t xml:space="preserve"> The </w:t>
      </w:r>
      <w:r w:rsidR="000C3C5F">
        <w:rPr>
          <w:lang w:eastAsia="en-AU"/>
        </w:rPr>
        <w:t>extension</w:t>
      </w:r>
      <w:r>
        <w:rPr>
          <w:lang w:eastAsia="en-AU"/>
        </w:rPr>
        <w:t xml:space="preserve"> would be predominantly visible from the other parts of the site, </w:t>
      </w:r>
      <w:r w:rsidR="000C3C5F">
        <w:rPr>
          <w:lang w:eastAsia="en-AU"/>
        </w:rPr>
        <w:t xml:space="preserve">if </w:t>
      </w:r>
      <w:r>
        <w:rPr>
          <w:lang w:eastAsia="en-AU"/>
        </w:rPr>
        <w:t>not</w:t>
      </w:r>
      <w:r w:rsidR="000C3C5F">
        <w:rPr>
          <w:lang w:eastAsia="en-AU"/>
        </w:rPr>
        <w:t xml:space="preserve"> from </w:t>
      </w:r>
      <w:r>
        <w:rPr>
          <w:lang w:eastAsia="en-AU"/>
        </w:rPr>
        <w:t>the subject unit.</w:t>
      </w:r>
      <w:r w:rsidR="000C3C5F">
        <w:rPr>
          <w:lang w:eastAsia="en-AU"/>
        </w:rPr>
        <w:t xml:space="preserve"> The Committee agreed that even if the addition were largely concealed, this would not necessarily reduce the impacts upon significance.</w:t>
      </w:r>
    </w:p>
    <w:p w:rsidR="000C3C5F" w:rsidRDefault="000C3C5F" w:rsidP="000C3C5F">
      <w:pPr>
        <w:numPr>
          <w:ilvl w:val="0"/>
          <w:numId w:val="16"/>
        </w:numPr>
        <w:autoSpaceDE w:val="0"/>
        <w:autoSpaceDN w:val="0"/>
        <w:adjustRightInd w:val="0"/>
        <w:spacing w:after="120" w:line="240" w:lineRule="atLeast"/>
        <w:ind w:hanging="720"/>
        <w:jc w:val="both"/>
        <w:rPr>
          <w:lang w:eastAsia="en-AU"/>
        </w:rPr>
      </w:pPr>
      <w:r w:rsidRPr="00634D22">
        <w:rPr>
          <w:lang w:eastAsia="en-AU"/>
        </w:rPr>
        <w:t>In a cluster development such as this, with recognised and valued significance</w:t>
      </w:r>
      <w:r>
        <w:rPr>
          <w:lang w:eastAsia="en-AU"/>
        </w:rPr>
        <w:t>,</w:t>
      </w:r>
      <w:r w:rsidRPr="00634D22">
        <w:rPr>
          <w:lang w:eastAsia="en-AU"/>
        </w:rPr>
        <w:t xml:space="preserve"> it is not a given that individual units can be increased in size</w:t>
      </w:r>
      <w:r>
        <w:rPr>
          <w:lang w:eastAsia="en-AU"/>
        </w:rPr>
        <w:t>. The effects of such changes</w:t>
      </w:r>
      <w:r w:rsidRPr="00634D22">
        <w:rPr>
          <w:lang w:eastAsia="en-AU"/>
        </w:rPr>
        <w:t xml:space="preserve"> on the other units</w:t>
      </w:r>
      <w:r>
        <w:rPr>
          <w:lang w:eastAsia="en-AU"/>
        </w:rPr>
        <w:t xml:space="preserve"> must be taken into account</w:t>
      </w:r>
      <w:r w:rsidRPr="00634D22">
        <w:rPr>
          <w:lang w:eastAsia="en-AU"/>
        </w:rPr>
        <w:t>.</w:t>
      </w:r>
      <w:r w:rsidR="00803681">
        <w:rPr>
          <w:lang w:eastAsia="en-AU"/>
        </w:rPr>
        <w:t xml:space="preserve"> </w:t>
      </w:r>
      <w:r>
        <w:rPr>
          <w:lang w:eastAsia="en-AU"/>
        </w:rPr>
        <w:t>The Committee considers that the proposed works will have a detrimental impact on the aspect of and availability of light and shade to 149 High Street, and hence an impact on the significance of that part of the place.</w:t>
      </w:r>
    </w:p>
    <w:p w:rsidR="00E05B68" w:rsidRDefault="00A037E3" w:rsidP="00E05B68">
      <w:pPr>
        <w:numPr>
          <w:ilvl w:val="0"/>
          <w:numId w:val="16"/>
        </w:numPr>
        <w:autoSpaceDE w:val="0"/>
        <w:autoSpaceDN w:val="0"/>
        <w:adjustRightInd w:val="0"/>
        <w:spacing w:after="120" w:line="240" w:lineRule="atLeast"/>
        <w:ind w:hanging="720"/>
        <w:jc w:val="both"/>
        <w:rPr>
          <w:lang w:eastAsia="en-AU"/>
        </w:rPr>
      </w:pPr>
      <w:r>
        <w:rPr>
          <w:lang w:eastAsia="en-AU"/>
        </w:rPr>
        <w:t xml:space="preserve">The Committee notes and agrees with the submission of Mr McDonald that ‘the purpose of the Victorian Heritage Register listing of H1345 is to regulate all works to ensure the appropriate conservation of the heritage place. Change – alterations and additions, are not prohibited – rather the test is, will they adversely affect the cultural significance of the heritage place’. </w:t>
      </w:r>
      <w:r w:rsidR="00E05B68">
        <w:rPr>
          <w:lang w:eastAsia="en-AU"/>
        </w:rPr>
        <w:t>In the Committee’s view, the proposed extension in the rear courtyard of 147 High Street would have an unacceptable impact on the identified significance of the place.</w:t>
      </w:r>
    </w:p>
    <w:p w:rsidR="005B7C4B" w:rsidRDefault="00040AE2">
      <w:pPr>
        <w:keepNext/>
        <w:autoSpaceDE w:val="0"/>
        <w:autoSpaceDN w:val="0"/>
        <w:adjustRightInd w:val="0"/>
        <w:spacing w:before="240" w:after="120" w:line="240" w:lineRule="atLeast"/>
        <w:jc w:val="both"/>
        <w:rPr>
          <w:b/>
          <w:bCs/>
          <w:lang w:eastAsia="en-AU"/>
        </w:rPr>
      </w:pPr>
      <w:r>
        <w:rPr>
          <w:b/>
          <w:bCs/>
          <w:lang w:eastAsia="en-AU"/>
        </w:rPr>
        <w:t>s.73(1)(b) the extent to which the application, if refused, would affect the reasonable or economic use of the registered place or registered object, or cause undue financial hardship to the owner in relation to that place or object</w:t>
      </w:r>
    </w:p>
    <w:p w:rsidR="00040AE2" w:rsidRPr="003B56C9" w:rsidRDefault="004A4519" w:rsidP="00BC3642">
      <w:pPr>
        <w:numPr>
          <w:ilvl w:val="0"/>
          <w:numId w:val="16"/>
        </w:numPr>
        <w:autoSpaceDE w:val="0"/>
        <w:autoSpaceDN w:val="0"/>
        <w:adjustRightInd w:val="0"/>
        <w:spacing w:after="120" w:line="240" w:lineRule="atLeast"/>
        <w:ind w:hanging="720"/>
        <w:jc w:val="both"/>
        <w:rPr>
          <w:lang w:eastAsia="en-AU"/>
        </w:rPr>
      </w:pPr>
      <w:r>
        <w:rPr>
          <w:lang w:eastAsia="en-AU"/>
        </w:rPr>
        <w:t xml:space="preserve">The Committee received submissions </w:t>
      </w:r>
      <w:r w:rsidR="00E05B68">
        <w:rPr>
          <w:lang w:eastAsia="en-AU"/>
        </w:rPr>
        <w:t>on the e</w:t>
      </w:r>
      <w:r>
        <w:rPr>
          <w:lang w:eastAsia="en-AU"/>
        </w:rPr>
        <w:t xml:space="preserve">ffect </w:t>
      </w:r>
      <w:r w:rsidR="00E05B68">
        <w:rPr>
          <w:lang w:eastAsia="en-AU"/>
        </w:rPr>
        <w:t>on</w:t>
      </w:r>
      <w:r>
        <w:rPr>
          <w:lang w:eastAsia="en-AU"/>
        </w:rPr>
        <w:t xml:space="preserve"> reasonable use of the place</w:t>
      </w:r>
      <w:r w:rsidR="00E05B68">
        <w:rPr>
          <w:lang w:eastAsia="en-AU"/>
        </w:rPr>
        <w:t xml:space="preserve"> if the permit is refused</w:t>
      </w:r>
      <w:r w:rsidR="00040AE2">
        <w:rPr>
          <w:lang w:eastAsia="en-AU"/>
        </w:rPr>
        <w:t>.</w:t>
      </w:r>
    </w:p>
    <w:p w:rsidR="00043E73" w:rsidRDefault="00040AE2">
      <w:pPr>
        <w:pStyle w:val="Para1"/>
        <w:keepNext/>
        <w:numPr>
          <w:ilvl w:val="0"/>
          <w:numId w:val="0"/>
        </w:numPr>
        <w:rPr>
          <w:i/>
        </w:rPr>
      </w:pPr>
      <w:r w:rsidRPr="003B56C9">
        <w:rPr>
          <w:i/>
        </w:rPr>
        <w:t>Submissions and evidence</w:t>
      </w:r>
    </w:p>
    <w:p w:rsidR="00040AE2" w:rsidRDefault="0053490F" w:rsidP="00BC3642">
      <w:pPr>
        <w:numPr>
          <w:ilvl w:val="0"/>
          <w:numId w:val="16"/>
        </w:numPr>
        <w:autoSpaceDE w:val="0"/>
        <w:autoSpaceDN w:val="0"/>
        <w:adjustRightInd w:val="0"/>
        <w:spacing w:after="120" w:line="240" w:lineRule="atLeast"/>
        <w:ind w:hanging="720"/>
        <w:jc w:val="both"/>
        <w:rPr>
          <w:lang w:eastAsia="en-AU"/>
        </w:rPr>
      </w:pPr>
      <w:r>
        <w:rPr>
          <w:lang w:eastAsia="en-AU"/>
        </w:rPr>
        <w:t>147 High Street</w:t>
      </w:r>
      <w:r w:rsidR="00853270">
        <w:rPr>
          <w:lang w:eastAsia="en-AU"/>
        </w:rPr>
        <w:t xml:space="preserve"> currently has three bedrooms, two bathrooms and two living areas</w:t>
      </w:r>
      <w:r w:rsidR="00040AE2" w:rsidRPr="003B56C9">
        <w:rPr>
          <w:lang w:eastAsia="en-AU"/>
        </w:rPr>
        <w:t>.</w:t>
      </w:r>
      <w:r w:rsidR="00853270">
        <w:rPr>
          <w:lang w:eastAsia="en-AU"/>
        </w:rPr>
        <w:t xml:space="preserve"> </w:t>
      </w:r>
      <w:r>
        <w:rPr>
          <w:lang w:eastAsia="en-AU"/>
        </w:rPr>
        <w:t xml:space="preserve">In the Executive Director’s view, </w:t>
      </w:r>
      <w:r w:rsidR="00853270">
        <w:rPr>
          <w:lang w:eastAsia="en-AU"/>
        </w:rPr>
        <w:t xml:space="preserve">the refusal of </w:t>
      </w:r>
      <w:r>
        <w:rPr>
          <w:lang w:eastAsia="en-AU"/>
        </w:rPr>
        <w:t>the</w:t>
      </w:r>
      <w:r w:rsidR="00853270">
        <w:rPr>
          <w:lang w:eastAsia="en-AU"/>
        </w:rPr>
        <w:t xml:space="preserve"> application means the place is still able to be reasonably used, as it provides facilities commensurate with modern living standards.</w:t>
      </w:r>
    </w:p>
    <w:p w:rsidR="00853270" w:rsidRPr="003B56C9" w:rsidRDefault="00853270" w:rsidP="00BC3642">
      <w:pPr>
        <w:numPr>
          <w:ilvl w:val="0"/>
          <w:numId w:val="16"/>
        </w:numPr>
        <w:autoSpaceDE w:val="0"/>
        <w:autoSpaceDN w:val="0"/>
        <w:adjustRightInd w:val="0"/>
        <w:spacing w:after="120" w:line="240" w:lineRule="atLeast"/>
        <w:ind w:hanging="720"/>
        <w:jc w:val="both"/>
        <w:rPr>
          <w:lang w:eastAsia="en-AU"/>
        </w:rPr>
      </w:pPr>
      <w:r>
        <w:rPr>
          <w:lang w:eastAsia="en-AU"/>
        </w:rPr>
        <w:t>The applicant argued that he requires an additional bedroom so that each of</w:t>
      </w:r>
      <w:r w:rsidR="00747B1D">
        <w:rPr>
          <w:lang w:eastAsia="en-AU"/>
        </w:rPr>
        <w:t xml:space="preserve"> </w:t>
      </w:r>
      <w:r w:rsidR="00E05B68">
        <w:rPr>
          <w:lang w:eastAsia="en-AU"/>
        </w:rPr>
        <w:t>his</w:t>
      </w:r>
      <w:r w:rsidR="00747B1D">
        <w:rPr>
          <w:lang w:eastAsia="en-AU"/>
        </w:rPr>
        <w:t xml:space="preserve"> </w:t>
      </w:r>
      <w:r>
        <w:rPr>
          <w:lang w:eastAsia="en-AU"/>
        </w:rPr>
        <w:t xml:space="preserve">three daughters can have a room of their own. </w:t>
      </w:r>
    </w:p>
    <w:p w:rsidR="00040AE2" w:rsidRPr="003B56C9" w:rsidRDefault="00040AE2" w:rsidP="00BC3642">
      <w:pPr>
        <w:pStyle w:val="Para1"/>
        <w:numPr>
          <w:ilvl w:val="0"/>
          <w:numId w:val="0"/>
        </w:numPr>
        <w:rPr>
          <w:i/>
        </w:rPr>
      </w:pPr>
      <w:r w:rsidRPr="003B56C9">
        <w:rPr>
          <w:i/>
        </w:rPr>
        <w:t>Discussion and conclusion</w:t>
      </w:r>
    </w:p>
    <w:p w:rsidR="0053490F" w:rsidRDefault="0053490F" w:rsidP="0053490F">
      <w:pPr>
        <w:numPr>
          <w:ilvl w:val="0"/>
          <w:numId w:val="16"/>
        </w:numPr>
        <w:autoSpaceDE w:val="0"/>
        <w:autoSpaceDN w:val="0"/>
        <w:adjustRightInd w:val="0"/>
        <w:spacing w:after="120" w:line="240" w:lineRule="atLeast"/>
        <w:ind w:hanging="720"/>
        <w:jc w:val="both"/>
        <w:rPr>
          <w:lang w:eastAsia="en-AU"/>
        </w:rPr>
      </w:pPr>
      <w:r>
        <w:rPr>
          <w:lang w:eastAsia="en-AU"/>
        </w:rPr>
        <w:t xml:space="preserve">The Committee has had regard to the Heritage Victoria and Heritage Council of Victoria Policy Guideline ‘Matters </w:t>
      </w:r>
      <w:r w:rsidR="00DE5A7C">
        <w:rPr>
          <w:lang w:eastAsia="en-AU"/>
        </w:rPr>
        <w:t>to be</w:t>
      </w:r>
      <w:r>
        <w:rPr>
          <w:lang w:eastAsia="en-AU"/>
        </w:rPr>
        <w:t xml:space="preserve"> </w:t>
      </w:r>
      <w:r w:rsidR="00DE5A7C">
        <w:rPr>
          <w:lang w:eastAsia="en-AU"/>
        </w:rPr>
        <w:t>considered in determining a permit application under section</w:t>
      </w:r>
      <w:r>
        <w:rPr>
          <w:lang w:eastAsia="en-AU"/>
        </w:rPr>
        <w:t xml:space="preserve"> 73(1)(B) </w:t>
      </w:r>
      <w:r w:rsidR="00DE5A7C">
        <w:rPr>
          <w:lang w:eastAsia="en-AU"/>
        </w:rPr>
        <w:t xml:space="preserve">of the </w:t>
      </w:r>
      <w:r>
        <w:rPr>
          <w:lang w:eastAsia="en-AU"/>
        </w:rPr>
        <w:t>Heritage Act 1995’.</w:t>
      </w:r>
    </w:p>
    <w:p w:rsidR="002C1E72" w:rsidRDefault="002C1E72" w:rsidP="0053490F">
      <w:pPr>
        <w:numPr>
          <w:ilvl w:val="0"/>
          <w:numId w:val="16"/>
        </w:numPr>
        <w:autoSpaceDE w:val="0"/>
        <w:autoSpaceDN w:val="0"/>
        <w:adjustRightInd w:val="0"/>
        <w:spacing w:after="120" w:line="240" w:lineRule="atLeast"/>
        <w:ind w:hanging="720"/>
        <w:jc w:val="both"/>
        <w:rPr>
          <w:lang w:eastAsia="en-AU"/>
        </w:rPr>
      </w:pPr>
      <w:r>
        <w:rPr>
          <w:lang w:eastAsia="en-AU"/>
        </w:rPr>
        <w:t>147 High Street is currently used as a dwelling. The permit application does not propose a change to the use of the place. If the application is refused, the Committee agrees with the Executiv</w:t>
      </w:r>
      <w:r w:rsidR="00E85F34">
        <w:rPr>
          <w:lang w:eastAsia="en-AU"/>
        </w:rPr>
        <w:t xml:space="preserve">e Director that the property will still be </w:t>
      </w:r>
      <w:r>
        <w:rPr>
          <w:lang w:eastAsia="en-AU"/>
        </w:rPr>
        <w:t>able to be reasonabl</w:t>
      </w:r>
      <w:r w:rsidR="00FA70CA">
        <w:rPr>
          <w:lang w:eastAsia="en-AU"/>
        </w:rPr>
        <w:t>y</w:t>
      </w:r>
      <w:r>
        <w:rPr>
          <w:lang w:eastAsia="en-AU"/>
        </w:rPr>
        <w:t xml:space="preserve"> used as a dwelling as it provides facilities commensurate with modern living standards. </w:t>
      </w:r>
      <w:r w:rsidR="00FA70CA">
        <w:rPr>
          <w:lang w:eastAsia="en-AU"/>
        </w:rPr>
        <w:t>‘</w:t>
      </w:r>
      <w:r>
        <w:rPr>
          <w:lang w:eastAsia="en-AU"/>
        </w:rPr>
        <w:t>Reasonable use</w:t>
      </w:r>
      <w:r w:rsidR="00FA70CA">
        <w:rPr>
          <w:lang w:eastAsia="en-AU"/>
        </w:rPr>
        <w:t>’</w:t>
      </w:r>
      <w:bookmarkStart w:id="0" w:name="_GoBack"/>
      <w:bookmarkEnd w:id="0"/>
      <w:r>
        <w:rPr>
          <w:lang w:eastAsia="en-AU"/>
        </w:rPr>
        <w:t xml:space="preserve"> is not about </w:t>
      </w:r>
      <w:r w:rsidR="00803681">
        <w:rPr>
          <w:lang w:eastAsia="en-AU"/>
        </w:rPr>
        <w:t xml:space="preserve">an </w:t>
      </w:r>
      <w:r>
        <w:rPr>
          <w:lang w:eastAsia="en-AU"/>
        </w:rPr>
        <w:t>applicant’s personal circumstances.</w:t>
      </w:r>
    </w:p>
    <w:p w:rsidR="00040AE2" w:rsidRPr="00647C12" w:rsidRDefault="00040AE2" w:rsidP="00BC3642">
      <w:pPr>
        <w:keepNext/>
        <w:autoSpaceDE w:val="0"/>
        <w:autoSpaceDN w:val="0"/>
        <w:adjustRightInd w:val="0"/>
        <w:spacing w:before="240" w:after="120" w:line="240" w:lineRule="atLeast"/>
        <w:ind w:left="540" w:hanging="540"/>
        <w:jc w:val="both"/>
        <w:rPr>
          <w:b/>
          <w:bCs/>
          <w:lang w:eastAsia="en-AU"/>
        </w:rPr>
      </w:pPr>
      <w:proofErr w:type="gramStart"/>
      <w:r>
        <w:rPr>
          <w:b/>
          <w:bCs/>
          <w:lang w:eastAsia="en-AU"/>
        </w:rPr>
        <w:t>s.73(</w:t>
      </w:r>
      <w:proofErr w:type="gramEnd"/>
      <w:r>
        <w:rPr>
          <w:b/>
          <w:bCs/>
          <w:lang w:eastAsia="en-AU"/>
        </w:rPr>
        <w:t>1)(c) any submissions made under s.69</w:t>
      </w:r>
    </w:p>
    <w:p w:rsidR="005B7C4B" w:rsidRDefault="002C1E72">
      <w:pPr>
        <w:numPr>
          <w:ilvl w:val="0"/>
          <w:numId w:val="16"/>
        </w:numPr>
        <w:autoSpaceDE w:val="0"/>
        <w:autoSpaceDN w:val="0"/>
        <w:adjustRightInd w:val="0"/>
        <w:spacing w:after="120" w:line="240" w:lineRule="atLeast"/>
        <w:ind w:hanging="720"/>
        <w:jc w:val="both"/>
        <w:rPr>
          <w:u w:val="single"/>
          <w:lang w:eastAsia="en-AU"/>
        </w:rPr>
      </w:pPr>
      <w:r>
        <w:rPr>
          <w:lang w:eastAsia="en-AU"/>
        </w:rPr>
        <w:t>The Committee considered three submissions that were made under s.69 (listed above under the heading ‘Submissions’</w:t>
      </w:r>
      <w:r w:rsidR="00223B84">
        <w:rPr>
          <w:lang w:eastAsia="en-AU"/>
        </w:rPr>
        <w:t>)</w:t>
      </w:r>
      <w:r w:rsidR="00040AE2">
        <w:rPr>
          <w:lang w:eastAsia="en-AU"/>
        </w:rPr>
        <w:t>.</w:t>
      </w:r>
      <w:r>
        <w:rPr>
          <w:lang w:eastAsia="en-AU"/>
        </w:rPr>
        <w:t xml:space="preserve"> The content of these submissions has been addressed under the relevant headings in this report.</w:t>
      </w:r>
    </w:p>
    <w:p w:rsidR="00040AE2" w:rsidRDefault="00040AE2" w:rsidP="00BC3642">
      <w:pPr>
        <w:autoSpaceDE w:val="0"/>
        <w:autoSpaceDN w:val="0"/>
        <w:adjustRightInd w:val="0"/>
        <w:spacing w:after="120" w:line="240" w:lineRule="atLeast"/>
        <w:jc w:val="both"/>
        <w:rPr>
          <w:u w:val="single"/>
          <w:lang w:eastAsia="en-AU"/>
        </w:rPr>
      </w:pPr>
      <w:r>
        <w:rPr>
          <w:u w:val="single"/>
          <w:lang w:eastAsia="en-AU"/>
        </w:rPr>
        <w:t>Discretionary</w:t>
      </w:r>
      <w:r w:rsidRPr="001E3270">
        <w:rPr>
          <w:u w:val="single"/>
          <w:lang w:eastAsia="en-AU"/>
        </w:rPr>
        <w:t xml:space="preserve"> considerations</w:t>
      </w:r>
    </w:p>
    <w:p w:rsidR="00040AE2" w:rsidRDefault="00040AE2" w:rsidP="00BC3642">
      <w:pPr>
        <w:keepNext/>
        <w:autoSpaceDE w:val="0"/>
        <w:autoSpaceDN w:val="0"/>
        <w:adjustRightInd w:val="0"/>
        <w:spacing w:before="240" w:after="120" w:line="240" w:lineRule="atLeast"/>
        <w:ind w:left="540" w:hanging="540"/>
        <w:jc w:val="both"/>
        <w:rPr>
          <w:b/>
          <w:bCs/>
          <w:lang w:eastAsia="en-AU"/>
        </w:rPr>
      </w:pPr>
      <w:proofErr w:type="gramStart"/>
      <w:r>
        <w:rPr>
          <w:b/>
          <w:bCs/>
          <w:lang w:eastAsia="en-AU"/>
        </w:rPr>
        <w:t>s.73(</w:t>
      </w:r>
      <w:proofErr w:type="gramEnd"/>
      <w:r>
        <w:rPr>
          <w:b/>
          <w:bCs/>
          <w:lang w:eastAsia="en-AU"/>
        </w:rPr>
        <w:t>1A)(b) any other relevant matter</w:t>
      </w:r>
    </w:p>
    <w:p w:rsidR="00043E73" w:rsidRDefault="009B596F">
      <w:pPr>
        <w:numPr>
          <w:ilvl w:val="0"/>
          <w:numId w:val="16"/>
        </w:numPr>
        <w:autoSpaceDE w:val="0"/>
        <w:autoSpaceDN w:val="0"/>
        <w:adjustRightInd w:val="0"/>
        <w:spacing w:after="120" w:line="240" w:lineRule="atLeast"/>
        <w:ind w:hanging="720"/>
        <w:jc w:val="both"/>
        <w:rPr>
          <w:lang w:eastAsia="en-AU"/>
        </w:rPr>
      </w:pPr>
      <w:r>
        <w:rPr>
          <w:lang w:eastAsia="en-AU"/>
        </w:rPr>
        <w:t>Concern was aired in a number of submissions that a precedent may be set if this permit is granted.</w:t>
      </w:r>
      <w:r w:rsidR="006D2A3E">
        <w:rPr>
          <w:lang w:eastAsia="en-AU"/>
        </w:rPr>
        <w:t xml:space="preserve"> </w:t>
      </w:r>
      <w:r>
        <w:rPr>
          <w:lang w:eastAsia="en-AU"/>
        </w:rPr>
        <w:t xml:space="preserve">The Committee did not take these concerns into account in reaching its </w:t>
      </w:r>
      <w:r w:rsidRPr="006D2A3E">
        <w:rPr>
          <w:lang w:eastAsia="en-AU"/>
        </w:rPr>
        <w:t>decision. E</w:t>
      </w:r>
      <w:r w:rsidR="009379BF" w:rsidRPr="006D2A3E">
        <w:rPr>
          <w:lang w:eastAsia="en-AU"/>
        </w:rPr>
        <w:t xml:space="preserve">ach </w:t>
      </w:r>
      <w:r w:rsidR="00AC3C18" w:rsidRPr="006D2A3E">
        <w:rPr>
          <w:lang w:eastAsia="en-AU"/>
        </w:rPr>
        <w:t xml:space="preserve">permit </w:t>
      </w:r>
      <w:r w:rsidR="009379BF" w:rsidRPr="006D2A3E">
        <w:rPr>
          <w:lang w:eastAsia="en-AU"/>
        </w:rPr>
        <w:t>application</w:t>
      </w:r>
      <w:r w:rsidR="009379BF">
        <w:rPr>
          <w:lang w:eastAsia="en-AU"/>
        </w:rPr>
        <w:t xml:space="preserve"> </w:t>
      </w:r>
      <w:r w:rsidR="00AC3C18">
        <w:rPr>
          <w:lang w:eastAsia="en-AU"/>
        </w:rPr>
        <w:t xml:space="preserve">or appeal </w:t>
      </w:r>
      <w:r w:rsidR="006D2A3E">
        <w:rPr>
          <w:lang w:eastAsia="en-AU"/>
        </w:rPr>
        <w:t>is</w:t>
      </w:r>
      <w:r>
        <w:rPr>
          <w:lang w:eastAsia="en-AU"/>
        </w:rPr>
        <w:t xml:space="preserve"> considered </w:t>
      </w:r>
      <w:r w:rsidR="009379BF">
        <w:rPr>
          <w:lang w:eastAsia="en-AU"/>
        </w:rPr>
        <w:t xml:space="preserve">on its </w:t>
      </w:r>
      <w:r>
        <w:rPr>
          <w:lang w:eastAsia="en-AU"/>
        </w:rPr>
        <w:t xml:space="preserve">own </w:t>
      </w:r>
      <w:r w:rsidR="009379BF">
        <w:rPr>
          <w:lang w:eastAsia="en-AU"/>
        </w:rPr>
        <w:t>merits.</w:t>
      </w:r>
      <w:r>
        <w:rPr>
          <w:lang w:eastAsia="en-AU"/>
        </w:rPr>
        <w:t xml:space="preserve"> After considering the matters set out at s.73 of the Heritage Act, the Committee was of the view the Executive Director’s decision should be upheld.</w:t>
      </w:r>
    </w:p>
    <w:p w:rsidR="005B7C4B" w:rsidRDefault="005B7C4B">
      <w:pPr>
        <w:spacing w:before="120" w:after="120"/>
        <w:jc w:val="both"/>
        <w:rPr>
          <w:b/>
          <w:caps/>
          <w:sz w:val="26"/>
          <w:szCs w:val="26"/>
          <w:lang w:eastAsia="en-AU"/>
        </w:rPr>
      </w:pPr>
    </w:p>
    <w:p w:rsidR="00040AE2" w:rsidRPr="00647C12" w:rsidRDefault="00040AE2" w:rsidP="00BC3642">
      <w:pPr>
        <w:spacing w:before="120" w:after="120"/>
        <w:jc w:val="both"/>
        <w:rPr>
          <w:b/>
          <w:caps/>
          <w:sz w:val="26"/>
          <w:szCs w:val="26"/>
          <w:lang w:eastAsia="en-AU"/>
        </w:rPr>
      </w:pPr>
      <w:r w:rsidRPr="00647C12">
        <w:rPr>
          <w:b/>
          <w:caps/>
          <w:sz w:val="26"/>
          <w:szCs w:val="26"/>
          <w:lang w:eastAsia="en-AU"/>
        </w:rPr>
        <w:t>Conclusion</w:t>
      </w:r>
    </w:p>
    <w:p w:rsidR="007919D5" w:rsidRPr="00AC3C18" w:rsidRDefault="007919D5" w:rsidP="00AC3C18">
      <w:pPr>
        <w:numPr>
          <w:ilvl w:val="0"/>
          <w:numId w:val="16"/>
        </w:numPr>
        <w:autoSpaceDE w:val="0"/>
        <w:autoSpaceDN w:val="0"/>
        <w:adjustRightInd w:val="0"/>
        <w:spacing w:after="120" w:line="240" w:lineRule="atLeast"/>
        <w:ind w:hanging="720"/>
        <w:jc w:val="both"/>
        <w:rPr>
          <w:lang w:eastAsia="en-AU"/>
        </w:rPr>
      </w:pPr>
      <w:r w:rsidRPr="00AC3C18">
        <w:rPr>
          <w:lang w:eastAsia="en-AU"/>
        </w:rPr>
        <w:t>After considering the appeal and conducting a hearing, pursuant to Section 76(4</w:t>
      </w:r>
      <w:proofErr w:type="gramStart"/>
      <w:r w:rsidRPr="00AC3C18">
        <w:rPr>
          <w:lang w:eastAsia="en-AU"/>
        </w:rPr>
        <w:t>)(</w:t>
      </w:r>
      <w:proofErr w:type="gramEnd"/>
      <w:r w:rsidRPr="00AC3C18">
        <w:rPr>
          <w:lang w:eastAsia="en-AU"/>
        </w:rPr>
        <w:t xml:space="preserve">b) of the </w:t>
      </w:r>
      <w:r w:rsidR="007070AD" w:rsidRPr="007070AD">
        <w:rPr>
          <w:i/>
          <w:lang w:eastAsia="en-AU"/>
        </w:rPr>
        <w:t>Heritage Act 1995</w:t>
      </w:r>
      <w:r w:rsidRPr="00AC3C18">
        <w:rPr>
          <w:lang w:eastAsia="en-AU"/>
        </w:rPr>
        <w:t xml:space="preserve"> the Heritage Council determines to confirm the decision of the Executive Director and refuse the permit application.</w:t>
      </w:r>
    </w:p>
    <w:p w:rsidR="00AC3C18" w:rsidRDefault="00AC3C18" w:rsidP="00AC3C18">
      <w:pPr>
        <w:numPr>
          <w:ilvl w:val="0"/>
          <w:numId w:val="16"/>
        </w:numPr>
        <w:autoSpaceDE w:val="0"/>
        <w:autoSpaceDN w:val="0"/>
        <w:adjustRightInd w:val="0"/>
        <w:spacing w:after="120" w:line="240" w:lineRule="atLeast"/>
        <w:ind w:hanging="720"/>
        <w:jc w:val="both"/>
        <w:rPr>
          <w:lang w:eastAsia="en-AU"/>
        </w:rPr>
      </w:pPr>
      <w:r>
        <w:rPr>
          <w:lang w:eastAsia="en-AU"/>
        </w:rPr>
        <w:t>The Committee found that the proposed works would have an unreasonably detrimental impact upon the cultural heritage significance of the place and upon the amenity of adjoining properties within the place. The Committee was not convinced that the reasonable use of the place would be affected by refusal of the permit application.</w:t>
      </w:r>
    </w:p>
    <w:p w:rsidR="005B7C4B" w:rsidRDefault="00855E73">
      <w:pPr>
        <w:pStyle w:val="standard"/>
        <w:ind w:left="720" w:hanging="720"/>
        <w:rPr>
          <w:rFonts w:ascii="Times New Roman" w:hAnsi="Times New Roman" w:cs="Times New Roman"/>
          <w:color w:val="auto"/>
        </w:rPr>
      </w:pPr>
      <w:r>
        <w:rPr>
          <w:rFonts w:ascii="Times New Roman" w:hAnsi="Times New Roman" w:cs="Times New Roman"/>
          <w:color w:val="auto"/>
        </w:rPr>
        <w:t>50</w:t>
      </w:r>
      <w:r>
        <w:rPr>
          <w:rFonts w:ascii="Times New Roman" w:hAnsi="Times New Roman" w:cs="Times New Roman"/>
          <w:color w:val="auto"/>
        </w:rPr>
        <w:tab/>
        <w:t xml:space="preserve">It is recommended that a Conservation Management Plan for the place be prepared to assist with </w:t>
      </w:r>
      <w:r w:rsidR="005A43A7">
        <w:rPr>
          <w:rFonts w:ascii="Times New Roman" w:hAnsi="Times New Roman" w:cs="Times New Roman"/>
          <w:color w:val="auto"/>
        </w:rPr>
        <w:t xml:space="preserve">future </w:t>
      </w:r>
      <w:r>
        <w:rPr>
          <w:rFonts w:ascii="Times New Roman" w:hAnsi="Times New Roman" w:cs="Times New Roman"/>
          <w:color w:val="auto"/>
        </w:rPr>
        <w:t xml:space="preserve">changes </w:t>
      </w:r>
      <w:r w:rsidR="005A43A7">
        <w:rPr>
          <w:rFonts w:ascii="Times New Roman" w:hAnsi="Times New Roman" w:cs="Times New Roman"/>
          <w:color w:val="auto"/>
        </w:rPr>
        <w:t xml:space="preserve">proposed </w:t>
      </w:r>
      <w:r>
        <w:rPr>
          <w:rFonts w:ascii="Times New Roman" w:hAnsi="Times New Roman" w:cs="Times New Roman"/>
          <w:color w:val="auto"/>
        </w:rPr>
        <w:t>to individual dwellings and shared areas.</w:t>
      </w:r>
      <w:r w:rsidR="00040AE2" w:rsidRPr="00303517">
        <w:rPr>
          <w:rFonts w:ascii="Times New Roman" w:hAnsi="Times New Roman" w:cs="Times New Roman"/>
          <w:color w:val="auto"/>
        </w:rPr>
        <w:br w:type="page"/>
      </w:r>
      <w:r w:rsidR="00EA3647">
        <w:rPr>
          <w:noProof/>
        </w:rPr>
        <w:drawing>
          <wp:inline distT="0" distB="0" distL="0" distR="0">
            <wp:extent cx="847725" cy="857250"/>
            <wp:effectExtent l="19050" t="0" r="9525" b="0"/>
            <wp:docPr id="2" name="Picture 2"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040AE2" w:rsidRPr="00647C12" w:rsidRDefault="00040AE2" w:rsidP="00040AE2">
      <w:pPr>
        <w:spacing w:before="120"/>
      </w:pPr>
    </w:p>
    <w:p w:rsidR="00040AE2" w:rsidRPr="005000F1" w:rsidRDefault="00040AE2" w:rsidP="00040AE2">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rsidR="00040AE2" w:rsidRPr="00647C12" w:rsidRDefault="00040AE2" w:rsidP="00040AE2">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rsidR="00040AE2" w:rsidRPr="00647C12" w:rsidRDefault="00040AE2" w:rsidP="00040AE2">
      <w:pPr>
        <w:pStyle w:val="HTMLPreformatted"/>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2"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must</w:t>
      </w: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roofErr w:type="gramStart"/>
      <w:r w:rsidRPr="00647C12">
        <w:rPr>
          <w:rFonts w:ascii="Times New Roman" w:hAnsi="Times New Roman" w:cs="Times New Roman"/>
          <w:sz w:val="24"/>
          <w:szCs w:val="24"/>
        </w:rPr>
        <w:t>consider</w:t>
      </w:r>
      <w:proofErr w:type="gramEnd"/>
      <w:r w:rsidRPr="00647C12">
        <w:rPr>
          <w:rFonts w:ascii="Times New Roman" w:hAnsi="Times New Roman" w:cs="Times New Roman"/>
          <w:sz w:val="24"/>
          <w:szCs w:val="24"/>
        </w:rPr>
        <w:t>-</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Pr="00647C12">
        <w:rPr>
          <w:rFonts w:ascii="Times New Roman" w:hAnsi="Times New Roman" w:cs="Times New Roman"/>
          <w:sz w:val="24"/>
          <w:szCs w:val="24"/>
        </w:rPr>
        <w:t>the</w:t>
      </w:r>
      <w:proofErr w:type="gramEnd"/>
      <w:r w:rsidRPr="00647C12">
        <w:rPr>
          <w:rFonts w:ascii="Times New Roman" w:hAnsi="Times New Roman" w:cs="Times New Roman"/>
          <w:sz w:val="24"/>
          <w:szCs w:val="24"/>
        </w:rPr>
        <w:t xml:space="preserve"> extent to which the application, if approved, would affect the</w:t>
      </w:r>
      <w:r>
        <w:rPr>
          <w:rFonts w:ascii="Times New Roman" w:hAnsi="Times New Roman" w:cs="Times New Roman"/>
          <w:sz w:val="24"/>
          <w:szCs w:val="24"/>
        </w:rPr>
        <w:t xml:space="preserve"> </w:t>
      </w:r>
      <w:hyperlink r:id="rId13" w:anchor="cultural_heritage_significance" w:history="1">
        <w:r>
          <w:rPr>
            <w:rStyle w:val="Hyperlink"/>
            <w:rFonts w:ascii="Times New Roman" w:hAnsi="Times New Roman" w:cs="Times New Roman"/>
            <w:color w:val="auto"/>
            <w:sz w:val="24"/>
            <w:szCs w:val="24"/>
            <w:u w:val="none"/>
          </w:rPr>
          <w:t xml:space="preserve">cultural </w:t>
        </w:r>
        <w:r w:rsidRPr="00647C12">
          <w:rPr>
            <w:rStyle w:val="Hyperlink"/>
            <w:rFonts w:ascii="Times New Roman" w:hAnsi="Times New Roman" w:cs="Times New Roman"/>
            <w:color w:val="auto"/>
            <w:sz w:val="24"/>
            <w:szCs w:val="24"/>
            <w:u w:val="none"/>
          </w:rPr>
          <w:t>heritage significance</w:t>
        </w:r>
      </w:hyperlink>
      <w:r w:rsidRPr="00647C12">
        <w:rPr>
          <w:rFonts w:ascii="Times New Roman" w:hAnsi="Times New Roman" w:cs="Times New Roman"/>
          <w:sz w:val="24"/>
          <w:szCs w:val="24"/>
        </w:rPr>
        <w:t xml:space="preserve"> of the </w:t>
      </w:r>
      <w:hyperlink r:id="rId14"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w:t>
      </w:r>
      <w:r>
        <w:rPr>
          <w:rFonts w:ascii="Times New Roman" w:hAnsi="Times New Roman" w:cs="Times New Roman"/>
          <w:sz w:val="24"/>
          <w:szCs w:val="24"/>
        </w:rPr>
        <w:t xml:space="preserve"> </w:t>
      </w:r>
      <w:hyperlink r:id="rId15"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ab</w:t>
      </w:r>
      <w:proofErr w:type="spellEnd"/>
      <w:r w:rsidRPr="00647C12">
        <w:rPr>
          <w:rFonts w:ascii="Times New Roman" w:hAnsi="Times New Roman" w:cs="Times New Roman"/>
          <w:sz w:val="24"/>
          <w:szCs w:val="24"/>
        </w:rPr>
        <w:t xml:space="preserv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application relates to a </w:t>
      </w:r>
      <w:hyperlink r:id="rId16"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xml:space="preserve"> or to a </w:t>
      </w:r>
      <w:hyperlink r:id="rId17" w:anchor="registered_place" w:history="1">
        <w:r w:rsidRPr="00647C12">
          <w:rPr>
            <w:rStyle w:val="Hyperlink"/>
            <w:rFonts w:ascii="Times New Roman" w:hAnsi="Times New Roman" w:cs="Times New Roman"/>
            <w:color w:val="auto"/>
            <w:sz w:val="24"/>
            <w:szCs w:val="24"/>
            <w:u w:val="none"/>
          </w:rPr>
          <w:t>registered 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or</w:t>
      </w:r>
      <w:r>
        <w:rPr>
          <w:rFonts w:ascii="Times New Roman" w:hAnsi="Times New Roman" w:cs="Times New Roman"/>
          <w:sz w:val="24"/>
          <w:szCs w:val="24"/>
        </w:rPr>
        <w:t xml:space="preserve"> </w:t>
      </w:r>
      <w:hyperlink r:id="rId18"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in a </w:t>
      </w:r>
      <w:hyperlink r:id="rId19" w:anchor="world_heritage_environs_area" w:history="1">
        <w:r w:rsidRPr="00647C12">
          <w:rPr>
            <w:rStyle w:val="Hyperlink"/>
            <w:rFonts w:ascii="Times New Roman" w:hAnsi="Times New Roman" w:cs="Times New Roman"/>
            <w:color w:val="auto"/>
            <w:sz w:val="24"/>
            <w:szCs w:val="24"/>
            <w:u w:val="none"/>
          </w:rPr>
          <w:t>World Heritage Environs Area</w:t>
        </w:r>
      </w:hyperlink>
      <w:r w:rsidRPr="00647C12">
        <w:rPr>
          <w:rFonts w:ascii="Times New Roman" w:hAnsi="Times New Roman" w:cs="Times New Roman"/>
          <w:sz w:val="24"/>
          <w:szCs w:val="24"/>
        </w:rPr>
        <w:t>, the extent to</w:t>
      </w:r>
      <w:r>
        <w:rPr>
          <w:rFonts w:ascii="Times New Roman" w:hAnsi="Times New Roman" w:cs="Times New Roman"/>
          <w:sz w:val="24"/>
          <w:szCs w:val="24"/>
        </w:rPr>
        <w:t xml:space="preserve"> </w:t>
      </w:r>
      <w:r w:rsidRPr="00647C12">
        <w:rPr>
          <w:rFonts w:ascii="Times New Roman" w:hAnsi="Times New Roman" w:cs="Times New Roman"/>
          <w:sz w:val="24"/>
          <w:szCs w:val="24"/>
        </w:rPr>
        <w:t>which the application, if approved, would affect</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xml:space="preserve">)  </w:t>
      </w:r>
      <w:proofErr w:type="gramStart"/>
      <w:r w:rsidRPr="00647C12">
        <w:rPr>
          <w:rFonts w:ascii="Times New Roman" w:hAnsi="Times New Roman" w:cs="Times New Roman"/>
          <w:sz w:val="24"/>
          <w:szCs w:val="24"/>
        </w:rPr>
        <w:t>the</w:t>
      </w:r>
      <w:proofErr w:type="gramEnd"/>
      <w:r w:rsidRPr="00647C12">
        <w:rPr>
          <w:rFonts w:ascii="Times New Roman" w:hAnsi="Times New Roman" w:cs="Times New Roman"/>
          <w:sz w:val="24"/>
          <w:szCs w:val="24"/>
        </w:rPr>
        <w:t xml:space="preserve"> </w:t>
      </w:r>
      <w:hyperlink r:id="rId20" w:anchor="world_heritage_values" w:history="1">
        <w:r w:rsidRPr="00647C12">
          <w:rPr>
            <w:rStyle w:val="Hyperlink"/>
            <w:rFonts w:ascii="Times New Roman" w:hAnsi="Times New Roman" w:cs="Times New Roman"/>
            <w:color w:val="auto"/>
            <w:sz w:val="24"/>
            <w:szCs w:val="24"/>
            <w:u w:val="none"/>
          </w:rPr>
          <w:t>world heritage values</w:t>
        </w:r>
      </w:hyperlink>
      <w:r w:rsidRPr="00647C12">
        <w:rPr>
          <w:rFonts w:ascii="Times New Roman" w:hAnsi="Times New Roman" w:cs="Times New Roman"/>
          <w:sz w:val="24"/>
          <w:szCs w:val="24"/>
        </w:rPr>
        <w:t xml:space="preserve"> of the </w:t>
      </w:r>
      <w:hyperlink r:id="rId21"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or</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w:t>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relevant </w:t>
      </w:r>
      <w:hyperlink r:id="rId22" w:anchor="approved_world_heritage_strategy_plan" w:history="1">
        <w:r w:rsidRPr="00647C12">
          <w:rPr>
            <w:rStyle w:val="Hyperlink"/>
            <w:rFonts w:ascii="Times New Roman" w:hAnsi="Times New Roman" w:cs="Times New Roman"/>
            <w:color w:val="auto"/>
            <w:sz w:val="24"/>
            <w:szCs w:val="24"/>
            <w:u w:val="none"/>
          </w:rPr>
          <w:t>Approved World Heritage Strategy Plan</w:t>
        </w:r>
      </w:hyperlink>
      <w:r w:rsidRPr="00647C12">
        <w:rPr>
          <w:rFonts w:ascii="Times New Roman" w:hAnsi="Times New Roman" w:cs="Times New Roman"/>
          <w:sz w:val="24"/>
          <w:szCs w:val="24"/>
        </w:rPr>
        <w:t>;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w:t>
      </w:r>
      <w:r>
        <w:rPr>
          <w:rFonts w:ascii="Times New Roman" w:hAnsi="Times New Roman" w:cs="Times New Roman"/>
          <w:sz w:val="24"/>
          <w:szCs w:val="24"/>
        </w:rPr>
        <w:t xml:space="preserve">on, if refused, would affect the </w:t>
      </w:r>
      <w:r w:rsidRPr="00647C12">
        <w:rPr>
          <w:rFonts w:ascii="Times New Roman" w:hAnsi="Times New Roman" w:cs="Times New Roman"/>
          <w:sz w:val="24"/>
          <w:szCs w:val="24"/>
        </w:rPr>
        <w:t xml:space="preserve">reasonable or economic use of the </w:t>
      </w:r>
      <w:hyperlink r:id="rId23"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 </w:t>
      </w:r>
      <w:hyperlink r:id="rId24"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or cause undue financial hardship to the </w:t>
      </w:r>
      <w:hyperlink r:id="rId25" w:anchor="owner" w:history="1">
        <w:r w:rsidRPr="00647C12">
          <w:rPr>
            <w:rStyle w:val="Hyperlink"/>
            <w:rFonts w:ascii="Times New Roman" w:hAnsi="Times New Roman" w:cs="Times New Roman"/>
            <w:color w:val="auto"/>
            <w:sz w:val="24"/>
            <w:szCs w:val="24"/>
            <w:u w:val="none"/>
          </w:rPr>
          <w:t>owner</w:t>
        </w:r>
      </w:hyperlink>
      <w:r w:rsidRPr="00647C12">
        <w:rPr>
          <w:rFonts w:ascii="Times New Roman" w:hAnsi="Times New Roman" w:cs="Times New Roman"/>
          <w:sz w:val="24"/>
          <w:szCs w:val="24"/>
        </w:rPr>
        <w:t xml:space="preserve"> in relation to that </w:t>
      </w:r>
      <w:hyperlink r:id="rId26" w:anchor="place" w:history="1">
        <w:r w:rsidRPr="00647C12">
          <w:rPr>
            <w:rStyle w:val="Hyperlink"/>
            <w:rFonts w:ascii="Times New Roman" w:hAnsi="Times New Roman" w:cs="Times New Roman"/>
            <w:color w:val="auto"/>
            <w:sz w:val="24"/>
            <w:szCs w:val="24"/>
            <w:u w:val="none"/>
          </w:rPr>
          <w:t>place</w:t>
        </w:r>
      </w:hyperlink>
      <w:r w:rsidRPr="00647C12">
        <w:rPr>
          <w:rFonts w:ascii="Times New Roman" w:hAnsi="Times New Roman" w:cs="Times New Roman"/>
          <w:sz w:val="24"/>
          <w:szCs w:val="24"/>
        </w:rPr>
        <w:t xml:space="preserve"> or </w:t>
      </w:r>
      <w:hyperlink r:id="rId27"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submissions made under section 69;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 xml:space="preserve">(d)  </w:t>
      </w:r>
      <w:r>
        <w:rPr>
          <w:rFonts w:ascii="Times New Roman" w:hAnsi="Times New Roman" w:cs="Times New Roman"/>
          <w:sz w:val="24"/>
          <w:szCs w:val="24"/>
        </w:rPr>
        <w:tab/>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decision of the </w:t>
      </w:r>
      <w:hyperlink r:id="rId28" w:anchor="heritage_council" w:history="1">
        <w:r w:rsidRPr="00647C12">
          <w:rPr>
            <w:rStyle w:val="Hyperlink"/>
            <w:rFonts w:ascii="Times New Roman" w:hAnsi="Times New Roman" w:cs="Times New Roman"/>
            <w:color w:val="auto"/>
            <w:sz w:val="24"/>
            <w:szCs w:val="24"/>
            <w:u w:val="none"/>
          </w:rPr>
          <w:t>Heritage Council</w:t>
        </w:r>
      </w:hyperlink>
      <w:r w:rsidRPr="00647C12">
        <w:rPr>
          <w:rFonts w:ascii="Times New Roman" w:hAnsi="Times New Roman" w:cs="Times New Roman"/>
          <w:sz w:val="24"/>
          <w:szCs w:val="24"/>
        </w:rPr>
        <w:t xml:space="preserve"> under section 72 which has been</w:t>
      </w: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647C1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647C12">
        <w:rPr>
          <w:rFonts w:ascii="Times New Roman" w:hAnsi="Times New Roman" w:cs="Times New Roman"/>
          <w:sz w:val="24"/>
          <w:szCs w:val="24"/>
        </w:rPr>
        <w:t>received</w:t>
      </w:r>
      <w:proofErr w:type="gramEnd"/>
      <w:r w:rsidRPr="00647C12">
        <w:rPr>
          <w:rFonts w:ascii="Times New Roman" w:hAnsi="Times New Roman" w:cs="Times New Roman"/>
          <w:sz w:val="24"/>
          <w:szCs w:val="24"/>
        </w:rPr>
        <w:t>;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applicant is a </w:t>
      </w:r>
      <w:hyperlink r:id="rId29"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the extent to which the</w:t>
      </w:r>
      <w:r>
        <w:rPr>
          <w:rFonts w:ascii="Times New Roman" w:hAnsi="Times New Roman" w:cs="Times New Roman"/>
          <w:sz w:val="24"/>
          <w:szCs w:val="24"/>
        </w:rPr>
        <w:t xml:space="preserve"> </w:t>
      </w:r>
      <w:r w:rsidRPr="00647C12">
        <w:rPr>
          <w:rFonts w:ascii="Times New Roman" w:hAnsi="Times New Roman" w:cs="Times New Roman"/>
          <w:sz w:val="24"/>
          <w:szCs w:val="24"/>
        </w:rPr>
        <w:t>application, if refused, would unreasonably detrimentally affect the</w:t>
      </w:r>
      <w:r>
        <w:rPr>
          <w:rFonts w:ascii="Times New Roman" w:hAnsi="Times New Roman" w:cs="Times New Roman"/>
          <w:sz w:val="24"/>
          <w:szCs w:val="24"/>
        </w:rPr>
        <w:t xml:space="preserve"> </w:t>
      </w:r>
      <w:r w:rsidRPr="00647C12">
        <w:rPr>
          <w:rFonts w:ascii="Times New Roman" w:hAnsi="Times New Roman" w:cs="Times New Roman"/>
          <w:sz w:val="24"/>
          <w:szCs w:val="24"/>
        </w:rPr>
        <w:t xml:space="preserve">ability of the </w:t>
      </w:r>
      <w:hyperlink r:id="rId30"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xml:space="preserve"> to carry out a statutory duty</w:t>
      </w:r>
      <w:r>
        <w:rPr>
          <w:rFonts w:ascii="Times New Roman" w:hAnsi="Times New Roman" w:cs="Times New Roman"/>
          <w:sz w:val="24"/>
          <w:szCs w:val="24"/>
        </w:rPr>
        <w:t xml:space="preserve"> </w:t>
      </w:r>
      <w:r w:rsidRPr="00647C12">
        <w:rPr>
          <w:rFonts w:ascii="Times New Roman" w:hAnsi="Times New Roman" w:cs="Times New Roman"/>
          <w:sz w:val="24"/>
          <w:szCs w:val="24"/>
        </w:rPr>
        <w:t>specified in the application;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(f)  </w:t>
      </w:r>
      <w:r>
        <w:rPr>
          <w:rFonts w:ascii="Times New Roman" w:hAnsi="Times New Roman" w:cs="Times New Roman"/>
          <w:sz w:val="24"/>
          <w:szCs w:val="24"/>
        </w:rPr>
        <w:tab/>
      </w:r>
      <w:r w:rsidRPr="00647C12">
        <w:rPr>
          <w:rFonts w:ascii="Times New Roman" w:hAnsi="Times New Roman" w:cs="Times New Roman"/>
          <w:sz w:val="24"/>
          <w:szCs w:val="24"/>
        </w:rPr>
        <w:t xml:space="preserve">any matters relating to the protection and </w:t>
      </w:r>
      <w:hyperlink r:id="rId31" w:anchor="conservation" w:history="1">
        <w:r w:rsidRPr="00647C12">
          <w:rPr>
            <w:rStyle w:val="Hyperlink"/>
            <w:rFonts w:ascii="Times New Roman" w:hAnsi="Times New Roman" w:cs="Times New Roman"/>
            <w:color w:val="auto"/>
            <w:sz w:val="24"/>
            <w:szCs w:val="24"/>
            <w:u w:val="none"/>
          </w:rPr>
          <w:t>conservation</w:t>
        </w:r>
      </w:hyperlink>
      <w:r w:rsidRPr="00647C12">
        <w:rPr>
          <w:rFonts w:ascii="Times New Roman" w:hAnsi="Times New Roman" w:cs="Times New Roman"/>
          <w:sz w:val="24"/>
          <w:szCs w:val="24"/>
        </w:rPr>
        <w:t xml:space="preserve"> of the </w:t>
      </w:r>
      <w:hyperlink r:id="rId32" w:anchor="place" w:history="1">
        <w:r w:rsidRPr="00647C12">
          <w:rPr>
            <w:rStyle w:val="Hyperlink"/>
            <w:rFonts w:ascii="Times New Roman" w:hAnsi="Times New Roman" w:cs="Times New Roman"/>
            <w:color w:val="auto"/>
            <w:sz w:val="24"/>
            <w:szCs w:val="24"/>
            <w:u w:val="none"/>
          </w:rPr>
          <w:t>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 xml:space="preserve">or </w:t>
      </w:r>
      <w:hyperlink r:id="rId33"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xml:space="preserve"> that the </w:t>
      </w:r>
      <w:hyperlink r:id="rId34"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considers relevant.</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647C12">
        <w:rPr>
          <w:rFonts w:ascii="Times New Roman" w:hAnsi="Times New Roman" w:cs="Times New Roman"/>
          <w:sz w:val="24"/>
          <w:szCs w:val="24"/>
        </w:rPr>
        <w:t xml:space="preserve">(1A)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35"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647C12">
        <w:rPr>
          <w:rFonts w:ascii="Times New Roman" w:hAnsi="Times New Roman" w:cs="Times New Roman"/>
          <w:sz w:val="24"/>
          <w:szCs w:val="24"/>
        </w:rPr>
        <w:t>consider-</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  </w:t>
      </w:r>
      <w:r>
        <w:rPr>
          <w:rFonts w:ascii="Times New Roman" w:hAnsi="Times New Roman" w:cs="Times New Roman"/>
          <w:sz w:val="24"/>
          <w:szCs w:val="24"/>
        </w:rPr>
        <w:tab/>
      </w:r>
      <w:proofErr w:type="gramStart"/>
      <w:r w:rsidRPr="00647C12">
        <w:rPr>
          <w:rFonts w:ascii="Times New Roman" w:hAnsi="Times New Roman" w:cs="Times New Roman"/>
          <w:sz w:val="24"/>
          <w:szCs w:val="24"/>
        </w:rPr>
        <w:t>the</w:t>
      </w:r>
      <w:proofErr w:type="gramEnd"/>
      <w:r w:rsidRPr="00647C12">
        <w:rPr>
          <w:rFonts w:ascii="Times New Roman" w:hAnsi="Times New Roman" w:cs="Times New Roman"/>
          <w:sz w:val="24"/>
          <w:szCs w:val="24"/>
        </w:rPr>
        <w:t xml:space="preserve"> extent to which the application, if approved, would affect the</w:t>
      </w:r>
      <w:r>
        <w:rPr>
          <w:rFonts w:ascii="Times New Roman" w:hAnsi="Times New Roman" w:cs="Times New Roman"/>
          <w:sz w:val="24"/>
          <w:szCs w:val="24"/>
        </w:rPr>
        <w:t xml:space="preserve"> </w:t>
      </w:r>
      <w:hyperlink r:id="rId36" w:anchor="cultural_heritage_significance" w:history="1">
        <w:r w:rsidRPr="00647C12">
          <w:rPr>
            <w:rStyle w:val="Hyperlink"/>
            <w:rFonts w:ascii="Times New Roman" w:hAnsi="Times New Roman" w:cs="Times New Roman"/>
            <w:color w:val="auto"/>
            <w:sz w:val="24"/>
            <w:szCs w:val="24"/>
            <w:u w:val="none"/>
          </w:rPr>
          <w:t>cultural heritage significance</w:t>
        </w:r>
      </w:hyperlink>
      <w:r w:rsidRPr="00647C12">
        <w:rPr>
          <w:rFonts w:ascii="Times New Roman" w:hAnsi="Times New Roman" w:cs="Times New Roman"/>
          <w:sz w:val="24"/>
          <w:szCs w:val="24"/>
        </w:rPr>
        <w:t xml:space="preserve"> of any adjacent or neighbouring</w:t>
      </w:r>
      <w:r>
        <w:rPr>
          <w:rFonts w:ascii="Times New Roman" w:hAnsi="Times New Roman" w:cs="Times New Roman"/>
          <w:sz w:val="24"/>
          <w:szCs w:val="24"/>
        </w:rPr>
        <w:t xml:space="preserve"> </w:t>
      </w:r>
      <w:r w:rsidRPr="00647C12">
        <w:rPr>
          <w:rFonts w:ascii="Times New Roman" w:hAnsi="Times New Roman" w:cs="Times New Roman"/>
          <w:sz w:val="24"/>
          <w:szCs w:val="24"/>
        </w:rPr>
        <w:t>property that is</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xml:space="preserve">)  </w:t>
      </w:r>
      <w:proofErr w:type="gramStart"/>
      <w:r w:rsidRPr="00647C12">
        <w:rPr>
          <w:rFonts w:ascii="Times New Roman" w:hAnsi="Times New Roman" w:cs="Times New Roman"/>
          <w:sz w:val="24"/>
          <w:szCs w:val="24"/>
        </w:rPr>
        <w:t>subject</w:t>
      </w:r>
      <w:proofErr w:type="gramEnd"/>
      <w:r w:rsidRPr="00647C12">
        <w:rPr>
          <w:rFonts w:ascii="Times New Roman" w:hAnsi="Times New Roman" w:cs="Times New Roman"/>
          <w:sz w:val="24"/>
          <w:szCs w:val="24"/>
        </w:rPr>
        <w:t xml:space="preserve"> to a heritage requirement or control in the relevant planning</w:t>
      </w:r>
      <w:r>
        <w:rPr>
          <w:rFonts w:ascii="Times New Roman" w:hAnsi="Times New Roman" w:cs="Times New Roman"/>
          <w:sz w:val="24"/>
          <w:szCs w:val="24"/>
        </w:rPr>
        <w:t xml:space="preserve"> </w:t>
      </w:r>
      <w:r w:rsidRPr="00647C12">
        <w:rPr>
          <w:rFonts w:ascii="Times New Roman" w:hAnsi="Times New Roman" w:cs="Times New Roman"/>
          <w:sz w:val="24"/>
          <w:szCs w:val="24"/>
        </w:rPr>
        <w:t>scheme; or</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040AE2" w:rsidRPr="00647C1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w:t>
      </w:r>
      <w:proofErr w:type="gramStart"/>
      <w:r w:rsidRPr="00647C12">
        <w:rPr>
          <w:rFonts w:ascii="Times New Roman" w:hAnsi="Times New Roman" w:cs="Times New Roman"/>
          <w:sz w:val="24"/>
          <w:szCs w:val="24"/>
        </w:rPr>
        <w:t>included</w:t>
      </w:r>
      <w:proofErr w:type="gramEnd"/>
      <w:r w:rsidRPr="00647C12">
        <w:rPr>
          <w:rFonts w:ascii="Times New Roman" w:hAnsi="Times New Roman" w:cs="Times New Roman"/>
          <w:sz w:val="24"/>
          <w:szCs w:val="24"/>
        </w:rPr>
        <w:t xml:space="preserve"> in the </w:t>
      </w:r>
      <w:hyperlink r:id="rId37" w:anchor="heritage_register" w:history="1">
        <w:r w:rsidRPr="00647C12">
          <w:rPr>
            <w:rStyle w:val="Hyperlink"/>
            <w:rFonts w:ascii="Times New Roman" w:hAnsi="Times New Roman" w:cs="Times New Roman"/>
            <w:color w:val="auto"/>
            <w:sz w:val="24"/>
            <w:szCs w:val="24"/>
            <w:u w:val="none"/>
          </w:rPr>
          <w:t>Heritage Register</w:t>
        </w:r>
      </w:hyperlink>
      <w:r w:rsidRPr="00647C12">
        <w:rPr>
          <w:rFonts w:ascii="Times New Roman" w:hAnsi="Times New Roman" w:cs="Times New Roman"/>
          <w:sz w:val="24"/>
          <w:szCs w:val="24"/>
        </w:rPr>
        <w:t>; and</w:t>
      </w:r>
    </w:p>
    <w:p w:rsidR="00040AE2" w:rsidRPr="00BC3642" w:rsidRDefault="00040AE2" w:rsidP="00040A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CA1CED" w:rsidRPr="00040AE2" w:rsidRDefault="00040AE2" w:rsidP="00BC3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pPr>
      <w:r>
        <w:rPr>
          <w:rFonts w:ascii="Times New Roman" w:hAnsi="Times New Roman" w:cs="Times New Roman"/>
          <w:sz w:val="24"/>
          <w:szCs w:val="24"/>
        </w:rPr>
        <w:t xml:space="preserve"> (b)</w:t>
      </w:r>
      <w:r>
        <w:rPr>
          <w:rFonts w:ascii="Times New Roman" w:hAnsi="Times New Roman" w:cs="Times New Roman"/>
          <w:sz w:val="24"/>
          <w:szCs w:val="24"/>
        </w:rPr>
        <w:tab/>
      </w:r>
      <w:proofErr w:type="gramStart"/>
      <w:r w:rsidRPr="00647C12">
        <w:rPr>
          <w:rFonts w:ascii="Times New Roman" w:hAnsi="Times New Roman" w:cs="Times New Roman"/>
          <w:sz w:val="24"/>
          <w:szCs w:val="24"/>
        </w:rPr>
        <w:t>any</w:t>
      </w:r>
      <w:proofErr w:type="gramEnd"/>
      <w:r w:rsidRPr="00647C12">
        <w:rPr>
          <w:rFonts w:ascii="Times New Roman" w:hAnsi="Times New Roman" w:cs="Times New Roman"/>
          <w:sz w:val="24"/>
          <w:szCs w:val="24"/>
        </w:rPr>
        <w:t xml:space="preserve"> other relevant matter.</w:t>
      </w:r>
    </w:p>
    <w:sectPr w:rsidR="00CA1CED" w:rsidRPr="00040AE2" w:rsidSect="00B4319D">
      <w:headerReference w:type="default" r:id="rId38"/>
      <w:footerReference w:type="default" r:id="rId39"/>
      <w:pgSz w:w="11907" w:h="16840" w:code="9"/>
      <w:pgMar w:top="1418" w:right="1701" w:bottom="1418"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5B" w:rsidRDefault="00C02B5B">
      <w:r>
        <w:separator/>
      </w:r>
    </w:p>
  </w:endnote>
  <w:endnote w:type="continuationSeparator" w:id="0">
    <w:p w:rsidR="00C02B5B" w:rsidRDefault="00C0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5B" w:rsidRDefault="00043E73" w:rsidP="005F396E">
    <w:pPr>
      <w:pStyle w:val="Footer"/>
      <w:jc w:val="center"/>
      <w:rPr>
        <w:rStyle w:val="PageNumber"/>
      </w:rPr>
    </w:pPr>
    <w:r>
      <w:rPr>
        <w:rStyle w:val="PageNumber"/>
      </w:rPr>
      <w:fldChar w:fldCharType="begin"/>
    </w:r>
    <w:r w:rsidR="00C02B5B">
      <w:rPr>
        <w:rStyle w:val="PageNumber"/>
      </w:rPr>
      <w:instrText xml:space="preserve"> PAGE </w:instrText>
    </w:r>
    <w:r>
      <w:rPr>
        <w:rStyle w:val="PageNumber"/>
      </w:rPr>
      <w:fldChar w:fldCharType="separate"/>
    </w:r>
    <w:r w:rsidR="00E40FAD">
      <w:rPr>
        <w:rStyle w:val="PageNumber"/>
        <w:noProof/>
      </w:rPr>
      <w:t>6</w:t>
    </w:r>
    <w:r>
      <w:rPr>
        <w:rStyle w:val="PageNumber"/>
      </w:rPr>
      <w:fldChar w:fldCharType="end"/>
    </w:r>
  </w:p>
  <w:p w:rsidR="00C02B5B" w:rsidRDefault="00C02B5B">
    <w:pPr>
      <w:pStyle w:val="Footer"/>
    </w:pPr>
    <w:r>
      <w:t>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5B" w:rsidRDefault="00C02B5B">
      <w:r>
        <w:separator/>
      </w:r>
    </w:p>
  </w:footnote>
  <w:footnote w:type="continuationSeparator" w:id="0">
    <w:p w:rsidR="00C02B5B" w:rsidRDefault="00C0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5B" w:rsidRDefault="00C02B5B">
    <w:pPr>
      <w:pStyle w:val="Header"/>
    </w:pPr>
  </w:p>
  <w:p w:rsidR="00C02B5B" w:rsidRDefault="00C02B5B" w:rsidP="00A17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FE2"/>
    <w:multiLevelType w:val="hybridMultilevel"/>
    <w:tmpl w:val="3FAE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81283"/>
    <w:multiLevelType w:val="hybridMultilevel"/>
    <w:tmpl w:val="31B43342"/>
    <w:lvl w:ilvl="0" w:tplc="E812BAFE">
      <w:start w:val="1"/>
      <w:numFmt w:val="decimal"/>
      <w:pStyle w:val="Para1"/>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90596"/>
    <w:multiLevelType w:val="hybridMultilevel"/>
    <w:tmpl w:val="D8781548"/>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B43B4E"/>
    <w:multiLevelType w:val="hybridMultilevel"/>
    <w:tmpl w:val="C8701978"/>
    <w:lvl w:ilvl="0" w:tplc="480E97FC">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7807973"/>
    <w:multiLevelType w:val="hybridMultilevel"/>
    <w:tmpl w:val="251AC248"/>
    <w:lvl w:ilvl="0" w:tplc="3502F8A2">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72E20930"/>
    <w:multiLevelType w:val="hybridMultilevel"/>
    <w:tmpl w:val="4AE6E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723B35"/>
    <w:multiLevelType w:val="hybridMultilevel"/>
    <w:tmpl w:val="4E1AB48C"/>
    <w:lvl w:ilvl="0" w:tplc="3502F8A2">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7"/>
  </w:num>
  <w:num w:numId="15">
    <w:abstractNumId w:val="5"/>
  </w:num>
  <w:num w:numId="16">
    <w:abstractNumId w:val="4"/>
  </w:num>
  <w:num w:numId="17">
    <w:abstractNumId w:val="2"/>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CB40F7"/>
    <w:rsid w:val="000035D5"/>
    <w:rsid w:val="00010AD0"/>
    <w:rsid w:val="00010EBB"/>
    <w:rsid w:val="00013521"/>
    <w:rsid w:val="00015115"/>
    <w:rsid w:val="00040AE2"/>
    <w:rsid w:val="00043E73"/>
    <w:rsid w:val="00063EE9"/>
    <w:rsid w:val="000661DF"/>
    <w:rsid w:val="00070D77"/>
    <w:rsid w:val="00080215"/>
    <w:rsid w:val="00087D7C"/>
    <w:rsid w:val="000A3370"/>
    <w:rsid w:val="000A5DA6"/>
    <w:rsid w:val="000B3941"/>
    <w:rsid w:val="000B6A63"/>
    <w:rsid w:val="000C0189"/>
    <w:rsid w:val="000C220D"/>
    <w:rsid w:val="000C3C5F"/>
    <w:rsid w:val="000C70D1"/>
    <w:rsid w:val="000C77DB"/>
    <w:rsid w:val="000E0923"/>
    <w:rsid w:val="000E253F"/>
    <w:rsid w:val="000E2845"/>
    <w:rsid w:val="000E7FEE"/>
    <w:rsid w:val="00106195"/>
    <w:rsid w:val="001111BE"/>
    <w:rsid w:val="001141BC"/>
    <w:rsid w:val="00116C53"/>
    <w:rsid w:val="001244EE"/>
    <w:rsid w:val="00131F2A"/>
    <w:rsid w:val="00133A33"/>
    <w:rsid w:val="0014262B"/>
    <w:rsid w:val="00151D90"/>
    <w:rsid w:val="00152419"/>
    <w:rsid w:val="00157B4C"/>
    <w:rsid w:val="00162BC5"/>
    <w:rsid w:val="00164AC5"/>
    <w:rsid w:val="00165D40"/>
    <w:rsid w:val="001A2E84"/>
    <w:rsid w:val="001A45BF"/>
    <w:rsid w:val="001B2C73"/>
    <w:rsid w:val="001C26D7"/>
    <w:rsid w:val="001D0DD5"/>
    <w:rsid w:val="001D0F20"/>
    <w:rsid w:val="001E047E"/>
    <w:rsid w:val="001E33B4"/>
    <w:rsid w:val="002024B7"/>
    <w:rsid w:val="00202622"/>
    <w:rsid w:val="0021212E"/>
    <w:rsid w:val="002170F0"/>
    <w:rsid w:val="00223B84"/>
    <w:rsid w:val="00224D32"/>
    <w:rsid w:val="002309F4"/>
    <w:rsid w:val="00233E1F"/>
    <w:rsid w:val="00234796"/>
    <w:rsid w:val="00237049"/>
    <w:rsid w:val="0024761F"/>
    <w:rsid w:val="0026004C"/>
    <w:rsid w:val="00265342"/>
    <w:rsid w:val="002759F7"/>
    <w:rsid w:val="00291B10"/>
    <w:rsid w:val="00292167"/>
    <w:rsid w:val="002A445E"/>
    <w:rsid w:val="002A6052"/>
    <w:rsid w:val="002C1E72"/>
    <w:rsid w:val="002D1EFB"/>
    <w:rsid w:val="002E47F4"/>
    <w:rsid w:val="002E7815"/>
    <w:rsid w:val="002F51C6"/>
    <w:rsid w:val="0030030C"/>
    <w:rsid w:val="0030172F"/>
    <w:rsid w:val="003127EC"/>
    <w:rsid w:val="003177D8"/>
    <w:rsid w:val="0032637D"/>
    <w:rsid w:val="00340CD6"/>
    <w:rsid w:val="003746E3"/>
    <w:rsid w:val="003752B5"/>
    <w:rsid w:val="0037766D"/>
    <w:rsid w:val="003904F8"/>
    <w:rsid w:val="003B0E95"/>
    <w:rsid w:val="003B59C3"/>
    <w:rsid w:val="003C3455"/>
    <w:rsid w:val="003C42D6"/>
    <w:rsid w:val="003D3C18"/>
    <w:rsid w:val="00410819"/>
    <w:rsid w:val="00434068"/>
    <w:rsid w:val="004345BE"/>
    <w:rsid w:val="0045190D"/>
    <w:rsid w:val="00455B95"/>
    <w:rsid w:val="00463CCE"/>
    <w:rsid w:val="0048448B"/>
    <w:rsid w:val="004A4519"/>
    <w:rsid w:val="004B411C"/>
    <w:rsid w:val="004B4F40"/>
    <w:rsid w:val="004C2B3A"/>
    <w:rsid w:val="004D52DF"/>
    <w:rsid w:val="004E497B"/>
    <w:rsid w:val="004F0E38"/>
    <w:rsid w:val="004F51A8"/>
    <w:rsid w:val="005000F1"/>
    <w:rsid w:val="00505333"/>
    <w:rsid w:val="00526210"/>
    <w:rsid w:val="0053490F"/>
    <w:rsid w:val="005738E6"/>
    <w:rsid w:val="00586CBE"/>
    <w:rsid w:val="005A2255"/>
    <w:rsid w:val="005A43A7"/>
    <w:rsid w:val="005A48B8"/>
    <w:rsid w:val="005A52D5"/>
    <w:rsid w:val="005A60DB"/>
    <w:rsid w:val="005B45E6"/>
    <w:rsid w:val="005B7C4B"/>
    <w:rsid w:val="005F097C"/>
    <w:rsid w:val="005F396E"/>
    <w:rsid w:val="005F727D"/>
    <w:rsid w:val="006019E5"/>
    <w:rsid w:val="00604E53"/>
    <w:rsid w:val="00624CFC"/>
    <w:rsid w:val="00634D22"/>
    <w:rsid w:val="00647C12"/>
    <w:rsid w:val="006544C9"/>
    <w:rsid w:val="00657142"/>
    <w:rsid w:val="00667384"/>
    <w:rsid w:val="0067124C"/>
    <w:rsid w:val="00674CE3"/>
    <w:rsid w:val="0068223E"/>
    <w:rsid w:val="00690ECA"/>
    <w:rsid w:val="00691FEA"/>
    <w:rsid w:val="00692C54"/>
    <w:rsid w:val="006A3B29"/>
    <w:rsid w:val="006A4165"/>
    <w:rsid w:val="006B0457"/>
    <w:rsid w:val="006B5E9C"/>
    <w:rsid w:val="006C1F24"/>
    <w:rsid w:val="006C380B"/>
    <w:rsid w:val="006C47CA"/>
    <w:rsid w:val="006D105A"/>
    <w:rsid w:val="006D2A3E"/>
    <w:rsid w:val="006D2E05"/>
    <w:rsid w:val="006E2180"/>
    <w:rsid w:val="006F44C0"/>
    <w:rsid w:val="007070AD"/>
    <w:rsid w:val="00712FEE"/>
    <w:rsid w:val="00713328"/>
    <w:rsid w:val="00722272"/>
    <w:rsid w:val="00722392"/>
    <w:rsid w:val="00724E76"/>
    <w:rsid w:val="00732CE8"/>
    <w:rsid w:val="00734866"/>
    <w:rsid w:val="00736698"/>
    <w:rsid w:val="00742397"/>
    <w:rsid w:val="0074486C"/>
    <w:rsid w:val="00747B1D"/>
    <w:rsid w:val="00762248"/>
    <w:rsid w:val="00763317"/>
    <w:rsid w:val="007919D5"/>
    <w:rsid w:val="007A07F9"/>
    <w:rsid w:val="007A271C"/>
    <w:rsid w:val="007C0897"/>
    <w:rsid w:val="007C46A3"/>
    <w:rsid w:val="007E3275"/>
    <w:rsid w:val="007F2E58"/>
    <w:rsid w:val="007F4A2E"/>
    <w:rsid w:val="00802728"/>
    <w:rsid w:val="00803681"/>
    <w:rsid w:val="00827667"/>
    <w:rsid w:val="00836F1E"/>
    <w:rsid w:val="00841E5D"/>
    <w:rsid w:val="00853270"/>
    <w:rsid w:val="008539C7"/>
    <w:rsid w:val="00855E73"/>
    <w:rsid w:val="0085653C"/>
    <w:rsid w:val="00871611"/>
    <w:rsid w:val="008738A9"/>
    <w:rsid w:val="008742FE"/>
    <w:rsid w:val="0087565E"/>
    <w:rsid w:val="00883454"/>
    <w:rsid w:val="0088700E"/>
    <w:rsid w:val="008941CD"/>
    <w:rsid w:val="008A35D2"/>
    <w:rsid w:val="008A572A"/>
    <w:rsid w:val="008A662B"/>
    <w:rsid w:val="008D46D3"/>
    <w:rsid w:val="008D473F"/>
    <w:rsid w:val="008F4240"/>
    <w:rsid w:val="00917B94"/>
    <w:rsid w:val="00932478"/>
    <w:rsid w:val="009379BF"/>
    <w:rsid w:val="009573AA"/>
    <w:rsid w:val="00961763"/>
    <w:rsid w:val="009660C5"/>
    <w:rsid w:val="00973BB4"/>
    <w:rsid w:val="00983346"/>
    <w:rsid w:val="009915A1"/>
    <w:rsid w:val="009A3FED"/>
    <w:rsid w:val="009A45D1"/>
    <w:rsid w:val="009B27C7"/>
    <w:rsid w:val="009B596F"/>
    <w:rsid w:val="009E7E2B"/>
    <w:rsid w:val="009F114F"/>
    <w:rsid w:val="00A0030F"/>
    <w:rsid w:val="00A037E3"/>
    <w:rsid w:val="00A05BA5"/>
    <w:rsid w:val="00A16C85"/>
    <w:rsid w:val="00A17018"/>
    <w:rsid w:val="00A64A82"/>
    <w:rsid w:val="00A72E00"/>
    <w:rsid w:val="00A7318C"/>
    <w:rsid w:val="00A77737"/>
    <w:rsid w:val="00A83B2C"/>
    <w:rsid w:val="00AA4724"/>
    <w:rsid w:val="00AC2489"/>
    <w:rsid w:val="00AC3C18"/>
    <w:rsid w:val="00AD411C"/>
    <w:rsid w:val="00AD6002"/>
    <w:rsid w:val="00B018A3"/>
    <w:rsid w:val="00B02E40"/>
    <w:rsid w:val="00B12DBC"/>
    <w:rsid w:val="00B20D61"/>
    <w:rsid w:val="00B24C86"/>
    <w:rsid w:val="00B36F4A"/>
    <w:rsid w:val="00B4319D"/>
    <w:rsid w:val="00B66435"/>
    <w:rsid w:val="00B9522E"/>
    <w:rsid w:val="00BB0FA1"/>
    <w:rsid w:val="00BC201F"/>
    <w:rsid w:val="00BC3642"/>
    <w:rsid w:val="00BD2E98"/>
    <w:rsid w:val="00C02B5B"/>
    <w:rsid w:val="00C166A7"/>
    <w:rsid w:val="00C40A7D"/>
    <w:rsid w:val="00C44E39"/>
    <w:rsid w:val="00C506CA"/>
    <w:rsid w:val="00C51F84"/>
    <w:rsid w:val="00C6503F"/>
    <w:rsid w:val="00C66B78"/>
    <w:rsid w:val="00C7038C"/>
    <w:rsid w:val="00C75059"/>
    <w:rsid w:val="00C82795"/>
    <w:rsid w:val="00C83E37"/>
    <w:rsid w:val="00CA1CED"/>
    <w:rsid w:val="00CB40F7"/>
    <w:rsid w:val="00D04E4F"/>
    <w:rsid w:val="00D122DD"/>
    <w:rsid w:val="00D15960"/>
    <w:rsid w:val="00D228D2"/>
    <w:rsid w:val="00D32746"/>
    <w:rsid w:val="00D6501F"/>
    <w:rsid w:val="00D710C4"/>
    <w:rsid w:val="00D74C08"/>
    <w:rsid w:val="00D82458"/>
    <w:rsid w:val="00D915B9"/>
    <w:rsid w:val="00D9171F"/>
    <w:rsid w:val="00D9578D"/>
    <w:rsid w:val="00DB1594"/>
    <w:rsid w:val="00DB26BE"/>
    <w:rsid w:val="00DB758E"/>
    <w:rsid w:val="00DC4125"/>
    <w:rsid w:val="00DD642E"/>
    <w:rsid w:val="00DE5A7C"/>
    <w:rsid w:val="00DF7D88"/>
    <w:rsid w:val="00E05B68"/>
    <w:rsid w:val="00E111F0"/>
    <w:rsid w:val="00E11CF7"/>
    <w:rsid w:val="00E338AB"/>
    <w:rsid w:val="00E40FAD"/>
    <w:rsid w:val="00E624B0"/>
    <w:rsid w:val="00E8540B"/>
    <w:rsid w:val="00E85F34"/>
    <w:rsid w:val="00E97FE7"/>
    <w:rsid w:val="00EA3647"/>
    <w:rsid w:val="00EB1E59"/>
    <w:rsid w:val="00EB42AA"/>
    <w:rsid w:val="00EB78DD"/>
    <w:rsid w:val="00ED50F7"/>
    <w:rsid w:val="00EE5FBE"/>
    <w:rsid w:val="00EF78CE"/>
    <w:rsid w:val="00F03328"/>
    <w:rsid w:val="00F31B89"/>
    <w:rsid w:val="00F33E8B"/>
    <w:rsid w:val="00F36B20"/>
    <w:rsid w:val="00F449DF"/>
    <w:rsid w:val="00F56AD2"/>
    <w:rsid w:val="00F62152"/>
    <w:rsid w:val="00F83D1C"/>
    <w:rsid w:val="00F96F6D"/>
    <w:rsid w:val="00FA2F64"/>
    <w:rsid w:val="00FA70CA"/>
    <w:rsid w:val="00FB79CD"/>
    <w:rsid w:val="00FC2194"/>
    <w:rsid w:val="00FD3811"/>
    <w:rsid w:val="00FD7879"/>
    <w:rsid w:val="00FE24BE"/>
    <w:rsid w:val="00FE5C3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AE2"/>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uiPriority w:val="99"/>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9915A1"/>
    <w:rPr>
      <w:rFonts w:ascii="Tahoma" w:hAnsi="Tahoma" w:cs="Tahoma"/>
      <w:sz w:val="16"/>
      <w:szCs w:val="16"/>
    </w:rPr>
  </w:style>
  <w:style w:type="paragraph" w:styleId="HTMLPreformatted">
    <w:name w:val="HTML Preformatted"/>
    <w:basedOn w:val="Normal"/>
    <w:rsid w:val="0064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sid w:val="00647C12"/>
    <w:rPr>
      <w:color w:val="0000FF"/>
      <w:u w:val="single"/>
    </w:rPr>
  </w:style>
  <w:style w:type="paragraph" w:styleId="Header">
    <w:name w:val="header"/>
    <w:basedOn w:val="Normal"/>
    <w:rsid w:val="00E111F0"/>
    <w:pPr>
      <w:tabs>
        <w:tab w:val="center" w:pos="4153"/>
        <w:tab w:val="right" w:pos="8306"/>
      </w:tabs>
    </w:pPr>
  </w:style>
  <w:style w:type="character" w:styleId="PageNumber">
    <w:name w:val="page number"/>
    <w:basedOn w:val="DefaultParagraphFont"/>
    <w:rsid w:val="00A17018"/>
  </w:style>
  <w:style w:type="character" w:styleId="CommentReference">
    <w:name w:val="annotation reference"/>
    <w:basedOn w:val="DefaultParagraphFont"/>
    <w:rsid w:val="00917B94"/>
    <w:rPr>
      <w:sz w:val="16"/>
      <w:szCs w:val="16"/>
    </w:rPr>
  </w:style>
  <w:style w:type="paragraph" w:styleId="CommentText">
    <w:name w:val="annotation text"/>
    <w:basedOn w:val="Normal"/>
    <w:link w:val="CommentTextChar"/>
    <w:rsid w:val="00917B94"/>
    <w:rPr>
      <w:sz w:val="20"/>
      <w:szCs w:val="20"/>
    </w:rPr>
  </w:style>
  <w:style w:type="character" w:customStyle="1" w:styleId="CommentTextChar">
    <w:name w:val="Comment Text Char"/>
    <w:basedOn w:val="DefaultParagraphFont"/>
    <w:link w:val="CommentText"/>
    <w:rsid w:val="00917B94"/>
    <w:rPr>
      <w:lang w:eastAsia="en-US"/>
    </w:rPr>
  </w:style>
  <w:style w:type="paragraph" w:styleId="CommentSubject">
    <w:name w:val="annotation subject"/>
    <w:basedOn w:val="CommentText"/>
    <w:next w:val="CommentText"/>
    <w:link w:val="CommentSubjectChar"/>
    <w:rsid w:val="00917B94"/>
    <w:rPr>
      <w:b/>
      <w:bCs/>
    </w:rPr>
  </w:style>
  <w:style w:type="character" w:customStyle="1" w:styleId="CommentSubjectChar">
    <w:name w:val="Comment Subject Char"/>
    <w:basedOn w:val="CommentTextChar"/>
    <w:link w:val="CommentSubject"/>
    <w:rsid w:val="00917B94"/>
    <w:rPr>
      <w:b/>
      <w:bCs/>
      <w:lang w:eastAsia="en-US"/>
    </w:rPr>
  </w:style>
  <w:style w:type="paragraph" w:styleId="ListParagraph">
    <w:name w:val="List Paragraph"/>
    <w:basedOn w:val="Normal"/>
    <w:uiPriority w:val="34"/>
    <w:qFormat/>
    <w:rsid w:val="008716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AE2"/>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uiPriority w:val="99"/>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9915A1"/>
    <w:rPr>
      <w:rFonts w:ascii="Tahoma" w:hAnsi="Tahoma" w:cs="Tahoma"/>
      <w:sz w:val="16"/>
      <w:szCs w:val="16"/>
    </w:rPr>
  </w:style>
  <w:style w:type="paragraph" w:styleId="HTMLPreformatted">
    <w:name w:val="HTML Preformatted"/>
    <w:basedOn w:val="Normal"/>
    <w:rsid w:val="0064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sid w:val="00647C12"/>
    <w:rPr>
      <w:color w:val="0000FF"/>
      <w:u w:val="single"/>
    </w:rPr>
  </w:style>
  <w:style w:type="paragraph" w:styleId="Header">
    <w:name w:val="header"/>
    <w:basedOn w:val="Normal"/>
    <w:rsid w:val="00E111F0"/>
    <w:pPr>
      <w:tabs>
        <w:tab w:val="center" w:pos="4153"/>
        <w:tab w:val="right" w:pos="8306"/>
      </w:tabs>
    </w:pPr>
  </w:style>
  <w:style w:type="character" w:styleId="PageNumber">
    <w:name w:val="page number"/>
    <w:basedOn w:val="DefaultParagraphFont"/>
    <w:rsid w:val="00A17018"/>
  </w:style>
  <w:style w:type="character" w:styleId="CommentReference">
    <w:name w:val="annotation reference"/>
    <w:basedOn w:val="DefaultParagraphFont"/>
    <w:rsid w:val="00917B94"/>
    <w:rPr>
      <w:sz w:val="16"/>
      <w:szCs w:val="16"/>
    </w:rPr>
  </w:style>
  <w:style w:type="paragraph" w:styleId="CommentText">
    <w:name w:val="annotation text"/>
    <w:basedOn w:val="Normal"/>
    <w:link w:val="CommentTextChar"/>
    <w:rsid w:val="00917B94"/>
    <w:rPr>
      <w:sz w:val="20"/>
      <w:szCs w:val="20"/>
    </w:rPr>
  </w:style>
  <w:style w:type="character" w:customStyle="1" w:styleId="CommentTextChar">
    <w:name w:val="Comment Text Char"/>
    <w:basedOn w:val="DefaultParagraphFont"/>
    <w:link w:val="CommentText"/>
    <w:rsid w:val="00917B94"/>
    <w:rPr>
      <w:lang w:eastAsia="en-US"/>
    </w:rPr>
  </w:style>
  <w:style w:type="paragraph" w:styleId="CommentSubject">
    <w:name w:val="annotation subject"/>
    <w:basedOn w:val="CommentText"/>
    <w:next w:val="CommentText"/>
    <w:link w:val="CommentSubjectChar"/>
    <w:rsid w:val="00917B94"/>
    <w:rPr>
      <w:b/>
      <w:bCs/>
    </w:rPr>
  </w:style>
  <w:style w:type="character" w:customStyle="1" w:styleId="CommentSubjectChar">
    <w:name w:val="Comment Subject Char"/>
    <w:basedOn w:val="CommentTextChar"/>
    <w:link w:val="CommentSubject"/>
    <w:rsid w:val="00917B94"/>
    <w:rPr>
      <w:b/>
      <w:bCs/>
      <w:lang w:eastAsia="en-US"/>
    </w:rPr>
  </w:style>
  <w:style w:type="paragraph" w:styleId="ListParagraph">
    <w:name w:val="List Paragraph"/>
    <w:basedOn w:val="Normal"/>
    <w:uiPriority w:val="34"/>
    <w:qFormat/>
    <w:rsid w:val="00871611"/>
    <w:pPr>
      <w:ind w:left="720"/>
      <w:contextualSpacing/>
    </w:pPr>
  </w:style>
</w:styles>
</file>

<file path=word/webSettings.xml><?xml version="1.0" encoding="utf-8"?>
<w:webSettings xmlns:r="http://schemas.openxmlformats.org/officeDocument/2006/relationships" xmlns:w="http://schemas.openxmlformats.org/wordprocessingml/2006/main">
  <w:divs>
    <w:div w:id="13725375">
      <w:bodyDiv w:val="1"/>
      <w:marLeft w:val="150"/>
      <w:marRight w:val="0"/>
      <w:marTop w:val="0"/>
      <w:marBottom w:val="0"/>
      <w:divBdr>
        <w:top w:val="none" w:sz="0" w:space="0" w:color="auto"/>
        <w:left w:val="none" w:sz="0" w:space="0" w:color="auto"/>
        <w:bottom w:val="none" w:sz="0" w:space="0" w:color="auto"/>
        <w:right w:val="none" w:sz="0" w:space="0" w:color="auto"/>
      </w:divBdr>
    </w:div>
    <w:div w:id="171074482">
      <w:bodyDiv w:val="1"/>
      <w:marLeft w:val="150"/>
      <w:marRight w:val="0"/>
      <w:marTop w:val="0"/>
      <w:marBottom w:val="0"/>
      <w:divBdr>
        <w:top w:val="none" w:sz="0" w:space="0" w:color="auto"/>
        <w:left w:val="none" w:sz="0" w:space="0" w:color="auto"/>
        <w:bottom w:val="none" w:sz="0" w:space="0" w:color="auto"/>
        <w:right w:val="none" w:sz="0" w:space="0" w:color="auto"/>
      </w:divBdr>
    </w:div>
    <w:div w:id="653678799">
      <w:bodyDiv w:val="1"/>
      <w:marLeft w:val="0"/>
      <w:marRight w:val="0"/>
      <w:marTop w:val="0"/>
      <w:marBottom w:val="0"/>
      <w:divBdr>
        <w:top w:val="none" w:sz="0" w:space="0" w:color="auto"/>
        <w:left w:val="none" w:sz="0" w:space="0" w:color="auto"/>
        <w:bottom w:val="none" w:sz="0" w:space="0" w:color="auto"/>
        <w:right w:val="none" w:sz="0" w:space="0" w:color="auto"/>
      </w:divBdr>
    </w:div>
    <w:div w:id="829718232">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1659068213">
      <w:bodyDiv w:val="1"/>
      <w:marLeft w:val="150"/>
      <w:marRight w:val="0"/>
      <w:marTop w:val="0"/>
      <w:marBottom w:val="0"/>
      <w:divBdr>
        <w:top w:val="none" w:sz="0" w:space="0" w:color="auto"/>
        <w:left w:val="none" w:sz="0" w:space="0" w:color="auto"/>
        <w:bottom w:val="none" w:sz="0" w:space="0" w:color="auto"/>
        <w:right w:val="none" w:sz="0" w:space="0" w:color="auto"/>
      </w:divBdr>
    </w:div>
    <w:div w:id="1744645068">
      <w:bodyDiv w:val="1"/>
      <w:marLeft w:val="150"/>
      <w:marRight w:val="0"/>
      <w:marTop w:val="0"/>
      <w:marBottom w:val="0"/>
      <w:divBdr>
        <w:top w:val="none" w:sz="0" w:space="0" w:color="auto"/>
        <w:left w:val="none" w:sz="0" w:space="0" w:color="auto"/>
        <w:bottom w:val="none" w:sz="0" w:space="0" w:color="auto"/>
        <w:right w:val="none" w:sz="0" w:space="0" w:color="auto"/>
      </w:divBdr>
    </w:div>
    <w:div w:id="1942685271">
      <w:bodyDiv w:val="1"/>
      <w:marLeft w:val="15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yperlink" Target="http://www.austlii.edu.au/au/legis/vic/consol_act/ha199586/s3.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yperlink" Target="http://www.austlii.edu.au/au/legis/vic/consol_act/ha199586/s3.html" TargetMode="External"/><Relationship Id="rId10" Type="http://schemas.openxmlformats.org/officeDocument/2006/relationships/image" Target="media/image3.jpeg"/><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8062-7A24-43EE-B880-B268B05F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3502</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24590</CharactersWithSpaces>
  <SharedDoc>false</SharedDoc>
  <HLinks>
    <vt:vector size="156" baseType="variant">
      <vt:variant>
        <vt:i4>1966088</vt:i4>
      </vt:variant>
      <vt:variant>
        <vt:i4>75</vt:i4>
      </vt:variant>
      <vt:variant>
        <vt:i4>0</vt:i4>
      </vt:variant>
      <vt:variant>
        <vt:i4>5</vt:i4>
      </vt:variant>
      <vt:variant>
        <vt:lpwstr>http://www.austlii.edu.au/au/legis/vic/consol_act/ha199586/s3.html</vt:lpwstr>
      </vt:variant>
      <vt:variant>
        <vt:lpwstr>heritage_register</vt:lpwstr>
      </vt:variant>
      <vt:variant>
        <vt:i4>5570684</vt:i4>
      </vt:variant>
      <vt:variant>
        <vt:i4>72</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69</vt:i4>
      </vt:variant>
      <vt:variant>
        <vt:i4>0</vt:i4>
      </vt:variant>
      <vt:variant>
        <vt:i4>5</vt:i4>
      </vt:variant>
      <vt:variant>
        <vt:lpwstr>http://www.austlii.edu.au/au/legis/vic/consol_act/ha199586/s3.html</vt:lpwstr>
      </vt:variant>
      <vt:variant>
        <vt:lpwstr>executive_director</vt:lpwstr>
      </vt:variant>
      <vt:variant>
        <vt:i4>5832773</vt:i4>
      </vt:variant>
      <vt:variant>
        <vt:i4>66</vt:i4>
      </vt:variant>
      <vt:variant>
        <vt:i4>0</vt:i4>
      </vt:variant>
      <vt:variant>
        <vt:i4>5</vt:i4>
      </vt:variant>
      <vt:variant>
        <vt:lpwstr>http://www.austlii.edu.au/au/legis/vic/consol_act/ha199586/s3.html</vt:lpwstr>
      </vt:variant>
      <vt:variant>
        <vt:lpwstr>executive_director</vt:lpwstr>
      </vt:variant>
      <vt:variant>
        <vt:i4>6684736</vt:i4>
      </vt:variant>
      <vt:variant>
        <vt:i4>63</vt:i4>
      </vt:variant>
      <vt:variant>
        <vt:i4>0</vt:i4>
      </vt:variant>
      <vt:variant>
        <vt:i4>5</vt:i4>
      </vt:variant>
      <vt:variant>
        <vt:lpwstr>http://www.austlii.edu.au/au/legis/vic/consol_act/ha199586/s3.html</vt:lpwstr>
      </vt:variant>
      <vt:variant>
        <vt:lpwstr>object</vt:lpwstr>
      </vt:variant>
      <vt:variant>
        <vt:i4>1703991</vt:i4>
      </vt:variant>
      <vt:variant>
        <vt:i4>60</vt:i4>
      </vt:variant>
      <vt:variant>
        <vt:i4>0</vt:i4>
      </vt:variant>
      <vt:variant>
        <vt:i4>5</vt:i4>
      </vt:variant>
      <vt:variant>
        <vt:lpwstr>http://www.austlii.edu.au/au/legis/vic/consol_act/ha199586/s3.html</vt:lpwstr>
      </vt:variant>
      <vt:variant>
        <vt:lpwstr>place</vt:lpwstr>
      </vt:variant>
      <vt:variant>
        <vt:i4>1900579</vt:i4>
      </vt:variant>
      <vt:variant>
        <vt:i4>57</vt:i4>
      </vt:variant>
      <vt:variant>
        <vt:i4>0</vt:i4>
      </vt:variant>
      <vt:variant>
        <vt:i4>5</vt:i4>
      </vt:variant>
      <vt:variant>
        <vt:lpwstr>http://www.austlii.edu.au/au/legis/vic/consol_act/ha199586/s3.html</vt:lpwstr>
      </vt:variant>
      <vt:variant>
        <vt:lpwstr>conservation</vt:lpwstr>
      </vt:variant>
      <vt:variant>
        <vt:i4>327705</vt:i4>
      </vt:variant>
      <vt:variant>
        <vt:i4>54</vt:i4>
      </vt:variant>
      <vt:variant>
        <vt:i4>0</vt:i4>
      </vt:variant>
      <vt:variant>
        <vt:i4>5</vt:i4>
      </vt:variant>
      <vt:variant>
        <vt:lpwstr>http://www.austlii.edu.au/au/legis/vic/consol_act/ha199586/s3.html</vt:lpwstr>
      </vt:variant>
      <vt:variant>
        <vt:lpwstr>public_authority</vt:lpwstr>
      </vt:variant>
      <vt:variant>
        <vt:i4>327705</vt:i4>
      </vt:variant>
      <vt:variant>
        <vt:i4>51</vt:i4>
      </vt:variant>
      <vt:variant>
        <vt:i4>0</vt:i4>
      </vt:variant>
      <vt:variant>
        <vt:i4>5</vt:i4>
      </vt:variant>
      <vt:variant>
        <vt:lpwstr>http://www.austlii.edu.au/au/legis/vic/consol_act/ha199586/s3.html</vt:lpwstr>
      </vt:variant>
      <vt:variant>
        <vt:lpwstr>public_authority</vt:lpwstr>
      </vt:variant>
      <vt:variant>
        <vt:i4>262168</vt:i4>
      </vt:variant>
      <vt:variant>
        <vt:i4>48</vt:i4>
      </vt:variant>
      <vt:variant>
        <vt:i4>0</vt:i4>
      </vt:variant>
      <vt:variant>
        <vt:i4>5</vt:i4>
      </vt:variant>
      <vt:variant>
        <vt:lpwstr>http://www.austlii.edu.au/au/legis/vic/consol_act/ha199586/s3.html</vt:lpwstr>
      </vt:variant>
      <vt:variant>
        <vt:lpwstr>heritage_council</vt:lpwstr>
      </vt:variant>
      <vt:variant>
        <vt:i4>6684736</vt:i4>
      </vt:variant>
      <vt:variant>
        <vt:i4>45</vt:i4>
      </vt:variant>
      <vt:variant>
        <vt:i4>0</vt:i4>
      </vt:variant>
      <vt:variant>
        <vt:i4>5</vt:i4>
      </vt:variant>
      <vt:variant>
        <vt:lpwstr>http://www.austlii.edu.au/au/legis/vic/consol_act/ha199586/s3.html</vt:lpwstr>
      </vt:variant>
      <vt:variant>
        <vt:lpwstr>object</vt:lpwstr>
      </vt:variant>
      <vt:variant>
        <vt:i4>1703991</vt:i4>
      </vt:variant>
      <vt:variant>
        <vt:i4>42</vt:i4>
      </vt:variant>
      <vt:variant>
        <vt:i4>0</vt:i4>
      </vt:variant>
      <vt:variant>
        <vt:i4>5</vt:i4>
      </vt:variant>
      <vt:variant>
        <vt:lpwstr>http://www.austlii.edu.au/au/legis/vic/consol_act/ha199586/s3.html</vt:lpwstr>
      </vt:variant>
      <vt:variant>
        <vt:lpwstr>place</vt:lpwstr>
      </vt:variant>
      <vt:variant>
        <vt:i4>458791</vt:i4>
      </vt:variant>
      <vt:variant>
        <vt:i4>39</vt:i4>
      </vt:variant>
      <vt:variant>
        <vt:i4>0</vt:i4>
      </vt:variant>
      <vt:variant>
        <vt:i4>5</vt:i4>
      </vt:variant>
      <vt:variant>
        <vt:lpwstr>http://www.austlii.edu.au/au/legis/vic/consol_act/ha199586/s3.html</vt:lpwstr>
      </vt:variant>
      <vt:variant>
        <vt:lpwstr>owner</vt:lpwstr>
      </vt:variant>
      <vt:variant>
        <vt:i4>1900568</vt:i4>
      </vt:variant>
      <vt:variant>
        <vt:i4>36</vt:i4>
      </vt:variant>
      <vt:variant>
        <vt:i4>0</vt:i4>
      </vt:variant>
      <vt:variant>
        <vt:i4>5</vt:i4>
      </vt:variant>
      <vt:variant>
        <vt:lpwstr>http://www.austlii.edu.au/au/legis/vic/consol_act/ha199586/s3.html</vt:lpwstr>
      </vt:variant>
      <vt:variant>
        <vt:lpwstr>registered_object</vt:lpwstr>
      </vt:variant>
      <vt:variant>
        <vt:i4>983056</vt:i4>
      </vt:variant>
      <vt:variant>
        <vt:i4>33</vt:i4>
      </vt:variant>
      <vt:variant>
        <vt:i4>0</vt:i4>
      </vt:variant>
      <vt:variant>
        <vt:i4>5</vt:i4>
      </vt:variant>
      <vt:variant>
        <vt:lpwstr>http://www.austlii.edu.au/au/legis/vic/consol_act/ha199586/s3.html</vt:lpwstr>
      </vt:variant>
      <vt:variant>
        <vt:lpwstr>registered_place</vt:lpwstr>
      </vt:variant>
      <vt:variant>
        <vt:i4>2752535</vt:i4>
      </vt:variant>
      <vt:variant>
        <vt:i4>30</vt:i4>
      </vt:variant>
      <vt:variant>
        <vt:i4>0</vt:i4>
      </vt:variant>
      <vt:variant>
        <vt:i4>5</vt:i4>
      </vt:variant>
      <vt:variant>
        <vt:lpwstr>http://www.austlii.edu.au/au/legis/vic/consol_act/ha199586/s3.html</vt:lpwstr>
      </vt:variant>
      <vt:variant>
        <vt:lpwstr>approved_world_heritage_strategy_plan</vt:lpwstr>
      </vt:variant>
      <vt:variant>
        <vt:i4>1572876</vt:i4>
      </vt:variant>
      <vt:variant>
        <vt:i4>27</vt:i4>
      </vt:variant>
      <vt:variant>
        <vt:i4>0</vt:i4>
      </vt:variant>
      <vt:variant>
        <vt:i4>5</vt:i4>
      </vt:variant>
      <vt:variant>
        <vt:lpwstr>http://www.austlii.edu.au/au/legis/vic/consol_act/ha199586/s3.html</vt:lpwstr>
      </vt:variant>
      <vt:variant>
        <vt:lpwstr>listed_place</vt:lpwstr>
      </vt:variant>
      <vt:variant>
        <vt:i4>4063237</vt:i4>
      </vt:variant>
      <vt:variant>
        <vt:i4>24</vt:i4>
      </vt:variant>
      <vt:variant>
        <vt:i4>0</vt:i4>
      </vt:variant>
      <vt:variant>
        <vt:i4>5</vt:i4>
      </vt:variant>
      <vt:variant>
        <vt:lpwstr>http://www.austlii.edu.au/au/legis/vic/consol_act/ha199586/s3.html</vt:lpwstr>
      </vt:variant>
      <vt:variant>
        <vt:lpwstr>world_heritage_values</vt:lpwstr>
      </vt:variant>
      <vt:variant>
        <vt:i4>131086</vt:i4>
      </vt:variant>
      <vt:variant>
        <vt:i4>21</vt:i4>
      </vt:variant>
      <vt:variant>
        <vt:i4>0</vt:i4>
      </vt:variant>
      <vt:variant>
        <vt:i4>5</vt:i4>
      </vt:variant>
      <vt:variant>
        <vt:lpwstr>http://www.austlii.edu.au/au/legis/vic/consol_act/ha199586/s3.html</vt:lpwstr>
      </vt:variant>
      <vt:variant>
        <vt:lpwstr>world_heritage_environs_area</vt:lpwstr>
      </vt:variant>
      <vt:variant>
        <vt:i4>1900568</vt:i4>
      </vt:variant>
      <vt:variant>
        <vt:i4>18</vt:i4>
      </vt:variant>
      <vt:variant>
        <vt:i4>0</vt:i4>
      </vt:variant>
      <vt:variant>
        <vt:i4>5</vt:i4>
      </vt:variant>
      <vt:variant>
        <vt:lpwstr>http://www.austlii.edu.au/au/legis/vic/consol_act/ha199586/s3.html</vt:lpwstr>
      </vt:variant>
      <vt:variant>
        <vt:lpwstr>registered_object</vt:lpwstr>
      </vt:variant>
      <vt:variant>
        <vt:i4>983056</vt:i4>
      </vt:variant>
      <vt:variant>
        <vt:i4>15</vt:i4>
      </vt:variant>
      <vt:variant>
        <vt:i4>0</vt:i4>
      </vt:variant>
      <vt:variant>
        <vt:i4>5</vt:i4>
      </vt:variant>
      <vt:variant>
        <vt:lpwstr>http://www.austlii.edu.au/au/legis/vic/consol_act/ha199586/s3.html</vt:lpwstr>
      </vt:variant>
      <vt:variant>
        <vt:lpwstr>registered_place</vt:lpwstr>
      </vt:variant>
      <vt:variant>
        <vt:i4>1572876</vt:i4>
      </vt:variant>
      <vt:variant>
        <vt:i4>12</vt:i4>
      </vt:variant>
      <vt:variant>
        <vt:i4>0</vt:i4>
      </vt:variant>
      <vt:variant>
        <vt:i4>5</vt:i4>
      </vt:variant>
      <vt:variant>
        <vt:lpwstr>http://www.austlii.edu.au/au/legis/vic/consol_act/ha199586/s3.html</vt:lpwstr>
      </vt:variant>
      <vt:variant>
        <vt:lpwstr>listed_place</vt:lpwstr>
      </vt:variant>
      <vt:variant>
        <vt:i4>1900568</vt:i4>
      </vt:variant>
      <vt:variant>
        <vt:i4>9</vt:i4>
      </vt:variant>
      <vt:variant>
        <vt:i4>0</vt:i4>
      </vt:variant>
      <vt:variant>
        <vt:i4>5</vt:i4>
      </vt:variant>
      <vt:variant>
        <vt:lpwstr>http://www.austlii.edu.au/au/legis/vic/consol_act/ha199586/s3.html</vt:lpwstr>
      </vt:variant>
      <vt:variant>
        <vt:lpwstr>registered_object</vt:lpwstr>
      </vt:variant>
      <vt:variant>
        <vt:i4>983056</vt:i4>
      </vt:variant>
      <vt:variant>
        <vt:i4>6</vt:i4>
      </vt:variant>
      <vt:variant>
        <vt:i4>0</vt:i4>
      </vt:variant>
      <vt:variant>
        <vt:i4>5</vt:i4>
      </vt:variant>
      <vt:variant>
        <vt:lpwstr>http://www.austlii.edu.au/au/legis/vic/consol_act/ha199586/s3.html</vt:lpwstr>
      </vt:variant>
      <vt:variant>
        <vt:lpwstr>registered_place</vt:lpwstr>
      </vt:variant>
      <vt:variant>
        <vt:i4>5570684</vt:i4>
      </vt:variant>
      <vt:variant>
        <vt:i4>3</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0</vt:i4>
      </vt:variant>
      <vt:variant>
        <vt:i4>0</vt:i4>
      </vt:variant>
      <vt:variant>
        <vt:i4>5</vt:i4>
      </vt:variant>
      <vt:variant>
        <vt:lpwstr>http://www.austlii.edu.au/au/legis/vic/consol_act/ha199586/s3.html</vt:lpwstr>
      </vt:variant>
      <vt:variant>
        <vt:lpwstr>executive_director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am0e</cp:lastModifiedBy>
  <cp:revision>2</cp:revision>
  <cp:lastPrinted>2013-09-18T06:02:00Z</cp:lastPrinted>
  <dcterms:created xsi:type="dcterms:W3CDTF">2013-09-18T06:02:00Z</dcterms:created>
  <dcterms:modified xsi:type="dcterms:W3CDTF">2013-09-18T06:02:00Z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1064318231</vt:i4>
  </property>
  <property fmtid="{D5CDD505-2E9C-101B-9397-08002B2CF9AE}" pid="3" name="_EmailSubject">
    <vt:lpwstr>report writing notes again</vt:lpwstr>
  </property>
  <property fmtid="{D5CDD505-2E9C-101B-9397-08002B2CF9AE}" pid="4" name="_AuthorEmail">
    <vt:lpwstr>chrisgal@bigpond.net.au</vt:lpwstr>
  </property>
  <property fmtid="{D5CDD505-2E9C-101B-9397-08002B2CF9AE}" pid="5" name="_AuthorEmailDisplayName">
    <vt:lpwstr>Chris Gallagher</vt:lpwstr>
  </property>
  <property fmtid="{D5CDD505-2E9C-101B-9397-08002B2CF9AE}" pid="6" name="_ReviewingToolsShownOnce">
    <vt:lpwstr/>
  </property>
</Properties>
</file>