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6DC7" w14:textId="77777777" w:rsidR="0007387C" w:rsidRPr="00B61CC2" w:rsidRDefault="0007387C" w:rsidP="00932CFF">
      <w:pPr>
        <w:ind w:left="7920"/>
        <w:jc w:val="center"/>
        <w:rPr>
          <w:rFonts w:hAnsi="Times New Roman" w:cs="Times New Roman"/>
        </w:rPr>
      </w:pPr>
      <w:r w:rsidRPr="00B61CC2">
        <w:rPr>
          <w:rFonts w:hAnsi="Times New Roman" w:cs="Times New Roman"/>
          <w:noProof/>
          <w:lang w:val="en-AU" w:eastAsia="en-AU"/>
        </w:rPr>
        <w:drawing>
          <wp:inline distT="0" distB="0" distL="0" distR="0" wp14:anchorId="71F7D58C" wp14:editId="4BC84702">
            <wp:extent cx="850900" cy="857250"/>
            <wp:effectExtent l="0" t="0" r="6350" b="0"/>
            <wp:docPr id="4"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CV prim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857250"/>
                    </a:xfrm>
                    <a:prstGeom prst="rect">
                      <a:avLst/>
                    </a:prstGeom>
                    <a:noFill/>
                    <a:ln>
                      <a:noFill/>
                    </a:ln>
                  </pic:spPr>
                </pic:pic>
              </a:graphicData>
            </a:graphic>
          </wp:inline>
        </w:drawing>
      </w:r>
    </w:p>
    <w:p w14:paraId="66DD30F9" w14:textId="77777777" w:rsidR="0007387C" w:rsidRPr="00B61CC2" w:rsidRDefault="0007387C" w:rsidP="0007387C">
      <w:pPr>
        <w:rPr>
          <w:rFonts w:hAnsi="Times New Roman" w:cs="Times New Roman"/>
        </w:rPr>
      </w:pPr>
    </w:p>
    <w:p w14:paraId="4EACBDD0" w14:textId="77777777" w:rsidR="0007387C" w:rsidRPr="00B61CC2" w:rsidRDefault="0007387C" w:rsidP="0007387C">
      <w:pPr>
        <w:rPr>
          <w:rFonts w:hAnsi="Times New Roman" w:cs="Times New Roman"/>
        </w:rPr>
      </w:pPr>
    </w:p>
    <w:p w14:paraId="53FAA9FB" w14:textId="77777777" w:rsidR="0007387C" w:rsidRPr="00B61CC2" w:rsidRDefault="0007387C" w:rsidP="0007387C">
      <w:pPr>
        <w:rPr>
          <w:rFonts w:eastAsia="Times New Roman Bold" w:hAnsi="Times New Roman" w:cs="Times New Roman"/>
        </w:rPr>
      </w:pPr>
      <w:r w:rsidRPr="00B61CC2">
        <w:rPr>
          <w:rFonts w:hAnsi="Times New Roman" w:cs="Times New Roman"/>
        </w:rPr>
        <w:t>Permit Appeal Number P</w:t>
      </w:r>
      <w:r w:rsidR="006542D2">
        <w:rPr>
          <w:rFonts w:hAnsi="Times New Roman" w:cs="Times New Roman"/>
        </w:rPr>
        <w:t>24224</w:t>
      </w:r>
    </w:p>
    <w:p w14:paraId="5257DEB8" w14:textId="77777777" w:rsidR="0007387C" w:rsidRPr="00B61CC2" w:rsidRDefault="0007387C" w:rsidP="00932CFF">
      <w:pPr>
        <w:pStyle w:val="Para1"/>
        <w:numPr>
          <w:ilvl w:val="0"/>
          <w:numId w:val="0"/>
        </w:numPr>
        <w:rPr>
          <w:rFonts w:hAnsi="Times New Roman" w:cs="Times New Roman"/>
        </w:rPr>
      </w:pPr>
    </w:p>
    <w:p w14:paraId="10081F33" w14:textId="77777777" w:rsidR="0007387C" w:rsidRPr="00B61CC2" w:rsidRDefault="007D00A3" w:rsidP="0007387C">
      <w:pPr>
        <w:rPr>
          <w:rFonts w:eastAsia="Times New Roman Bold" w:hAnsi="Times New Roman" w:cs="Times New Roman"/>
          <w:b/>
        </w:rPr>
      </w:pPr>
      <w:r>
        <w:rPr>
          <w:rFonts w:eastAsia="Times New Roman Bold" w:hAnsi="Times New Roman" w:cs="Times New Roman"/>
          <w:b/>
        </w:rPr>
        <w:t>Richmond Maltings</w:t>
      </w:r>
      <w:r w:rsidR="00D50EF1">
        <w:rPr>
          <w:rFonts w:eastAsia="Times New Roman Bold" w:hAnsi="Times New Roman" w:cs="Times New Roman"/>
          <w:b/>
        </w:rPr>
        <w:t xml:space="preserve"> (</w:t>
      </w:r>
      <w:r w:rsidR="0007387C" w:rsidRPr="00B61CC2">
        <w:rPr>
          <w:rFonts w:eastAsia="Times New Roman Bold" w:hAnsi="Times New Roman" w:cs="Times New Roman"/>
          <w:b/>
        </w:rPr>
        <w:t>H</w:t>
      </w:r>
      <w:r w:rsidR="00CF63A0">
        <w:rPr>
          <w:rFonts w:eastAsia="Times New Roman Bold" w:hAnsi="Times New Roman" w:cs="Times New Roman"/>
          <w:b/>
        </w:rPr>
        <w:t>2050</w:t>
      </w:r>
      <w:r w:rsidR="00D50EF1">
        <w:rPr>
          <w:rFonts w:eastAsia="Times New Roman Bold" w:hAnsi="Times New Roman" w:cs="Times New Roman"/>
          <w:b/>
        </w:rPr>
        <w:t>),</w:t>
      </w:r>
      <w:r w:rsidR="0007387C" w:rsidRPr="00B61CC2">
        <w:rPr>
          <w:rFonts w:eastAsia="Times New Roman Bold" w:hAnsi="Times New Roman" w:cs="Times New Roman"/>
          <w:b/>
        </w:rPr>
        <w:t xml:space="preserve"> Permit</w:t>
      </w:r>
      <w:r w:rsidR="00B27469">
        <w:rPr>
          <w:rFonts w:eastAsia="Times New Roman Bold" w:hAnsi="Times New Roman" w:cs="Times New Roman"/>
          <w:b/>
        </w:rPr>
        <w:t xml:space="preserve"> Application</w:t>
      </w:r>
      <w:r w:rsidR="0007387C" w:rsidRPr="00B61CC2">
        <w:rPr>
          <w:rFonts w:eastAsia="Times New Roman Bold" w:hAnsi="Times New Roman" w:cs="Times New Roman"/>
          <w:b/>
        </w:rPr>
        <w:t xml:space="preserve"> P</w:t>
      </w:r>
      <w:r w:rsidR="00AD4219">
        <w:rPr>
          <w:rFonts w:eastAsia="Times New Roman Bold" w:hAnsi="Times New Roman" w:cs="Times New Roman"/>
          <w:b/>
        </w:rPr>
        <w:t>23231</w:t>
      </w:r>
    </w:p>
    <w:p w14:paraId="22A19FA7" w14:textId="77777777" w:rsidR="007D00A3" w:rsidRDefault="000B4E0D" w:rsidP="0007387C">
      <w:pPr>
        <w:rPr>
          <w:rFonts w:hAnsi="Times New Roman" w:cs="Times New Roman"/>
          <w:b/>
        </w:rPr>
      </w:pPr>
      <w:r>
        <w:rPr>
          <w:rFonts w:hAnsi="Times New Roman" w:cs="Times New Roman"/>
          <w:b/>
        </w:rPr>
        <w:t xml:space="preserve">2 Gough </w:t>
      </w:r>
      <w:r w:rsidR="007D00A3">
        <w:rPr>
          <w:rFonts w:hAnsi="Times New Roman" w:cs="Times New Roman"/>
          <w:b/>
        </w:rPr>
        <w:t>Street, Cremorne</w:t>
      </w:r>
      <w:r w:rsidR="006959D7">
        <w:rPr>
          <w:rFonts w:hAnsi="Times New Roman" w:cs="Times New Roman"/>
          <w:b/>
        </w:rPr>
        <w:t>, Victoria</w:t>
      </w:r>
    </w:p>
    <w:p w14:paraId="2D767F05" w14:textId="77777777" w:rsidR="0007387C" w:rsidRPr="00B61CC2" w:rsidRDefault="0007387C" w:rsidP="0007387C">
      <w:pPr>
        <w:rPr>
          <w:rFonts w:hAnsi="Times New Roman" w:cs="Times New Roman"/>
          <w:b/>
        </w:rPr>
      </w:pPr>
    </w:p>
    <w:p w14:paraId="35F3A2E2" w14:textId="77777777" w:rsidR="0007387C" w:rsidRPr="00B61CC2" w:rsidRDefault="0007387C" w:rsidP="0007387C">
      <w:pPr>
        <w:rPr>
          <w:rFonts w:eastAsia="Times New Roman Bold" w:hAnsi="Times New Roman" w:cs="Times New Roman"/>
          <w:b/>
        </w:rPr>
      </w:pPr>
      <w:r w:rsidRPr="00B61CC2">
        <w:rPr>
          <w:rFonts w:hAnsi="Times New Roman" w:cs="Times New Roman"/>
          <w:b/>
        </w:rPr>
        <w:t>Heritage Council Permits Committee</w:t>
      </w:r>
    </w:p>
    <w:p w14:paraId="5EBC7731" w14:textId="77777777" w:rsidR="0007387C" w:rsidRPr="00B61CC2" w:rsidRDefault="0007387C" w:rsidP="0007387C">
      <w:pPr>
        <w:rPr>
          <w:rFonts w:eastAsia="Times New Roman Bold" w:hAnsi="Times New Roman" w:cs="Times New Roman"/>
          <w:b/>
        </w:rPr>
      </w:pPr>
      <w:r w:rsidRPr="00B61CC2">
        <w:rPr>
          <w:rFonts w:hAnsi="Times New Roman" w:cs="Times New Roman"/>
          <w:b/>
        </w:rPr>
        <w:t xml:space="preserve">Hearing – </w:t>
      </w:r>
      <w:r w:rsidR="007D00A3">
        <w:rPr>
          <w:rFonts w:hAnsi="Times New Roman" w:cs="Times New Roman"/>
          <w:b/>
        </w:rPr>
        <w:t>Thursday 23 June, Friday</w:t>
      </w:r>
      <w:r w:rsidRPr="00B61CC2">
        <w:rPr>
          <w:rFonts w:hAnsi="Times New Roman" w:cs="Times New Roman"/>
          <w:b/>
        </w:rPr>
        <w:t xml:space="preserve"> </w:t>
      </w:r>
      <w:r w:rsidR="007D00A3">
        <w:rPr>
          <w:rFonts w:hAnsi="Times New Roman" w:cs="Times New Roman"/>
          <w:b/>
        </w:rPr>
        <w:t>24</w:t>
      </w:r>
      <w:r w:rsidRPr="00B61CC2">
        <w:rPr>
          <w:rFonts w:hAnsi="Times New Roman" w:cs="Times New Roman"/>
          <w:b/>
        </w:rPr>
        <w:t xml:space="preserve"> </w:t>
      </w:r>
      <w:r w:rsidR="007D00A3">
        <w:rPr>
          <w:rFonts w:hAnsi="Times New Roman" w:cs="Times New Roman"/>
          <w:b/>
        </w:rPr>
        <w:t>June and Monday 4 July</w:t>
      </w:r>
      <w:r>
        <w:rPr>
          <w:rFonts w:hAnsi="Times New Roman" w:cs="Times New Roman"/>
          <w:b/>
        </w:rPr>
        <w:t>,</w:t>
      </w:r>
      <w:r w:rsidRPr="00B61CC2">
        <w:rPr>
          <w:rFonts w:hAnsi="Times New Roman" w:cs="Times New Roman"/>
          <w:b/>
        </w:rPr>
        <w:t xml:space="preserve"> </w:t>
      </w:r>
      <w:r>
        <w:rPr>
          <w:rFonts w:hAnsi="Times New Roman" w:cs="Times New Roman"/>
          <w:b/>
        </w:rPr>
        <w:t>2016</w:t>
      </w:r>
    </w:p>
    <w:p w14:paraId="7F356A63" w14:textId="77777777" w:rsidR="0007387C" w:rsidRPr="00B61CC2" w:rsidRDefault="0007387C" w:rsidP="0007387C">
      <w:pPr>
        <w:pStyle w:val="Heading1"/>
        <w:rPr>
          <w:rFonts w:ascii="Times New Roman" w:hAnsi="Times New Roman" w:cs="Times New Roman"/>
        </w:rPr>
      </w:pPr>
    </w:p>
    <w:p w14:paraId="3F3F6521" w14:textId="77777777" w:rsidR="0007387C" w:rsidRPr="00B61CC2" w:rsidRDefault="0007387C" w:rsidP="0007387C">
      <w:pPr>
        <w:pStyle w:val="Heading1"/>
        <w:rPr>
          <w:rFonts w:ascii="Times New Roman" w:hAnsi="Times New Roman" w:cs="Times New Roman"/>
        </w:rPr>
      </w:pPr>
      <w:r w:rsidRPr="00B61CC2">
        <w:rPr>
          <w:rFonts w:ascii="Times New Roman" w:hAnsi="Times New Roman" w:cs="Times New Roman"/>
        </w:rPr>
        <w:t xml:space="preserve">Decision of the Heritage Council </w:t>
      </w:r>
    </w:p>
    <w:p w14:paraId="7E1784EB" w14:textId="77777777" w:rsidR="0007387C" w:rsidRPr="00B61CC2" w:rsidRDefault="0007387C" w:rsidP="0007387C">
      <w:pPr>
        <w:spacing w:before="120"/>
        <w:rPr>
          <w:rFonts w:hAnsi="Times New Roman" w:cs="Times New Roman"/>
        </w:rPr>
      </w:pPr>
      <w:r w:rsidRPr="00B61CC2">
        <w:rPr>
          <w:rFonts w:hAnsi="Times New Roman" w:cs="Times New Roman"/>
        </w:rPr>
        <w:t xml:space="preserve">After considering </w:t>
      </w:r>
      <w:r w:rsidR="00D20890">
        <w:rPr>
          <w:rFonts w:hAnsi="Times New Roman" w:cs="Times New Roman"/>
        </w:rPr>
        <w:t xml:space="preserve">all submissions received in relation to </w:t>
      </w:r>
      <w:r w:rsidR="00203DC3">
        <w:rPr>
          <w:rFonts w:hAnsi="Times New Roman" w:cs="Times New Roman"/>
        </w:rPr>
        <w:t>the permit appeal,</w:t>
      </w:r>
      <w:r w:rsidR="006D643D">
        <w:rPr>
          <w:rFonts w:hAnsi="Times New Roman" w:cs="Times New Roman"/>
        </w:rPr>
        <w:t xml:space="preserve"> </w:t>
      </w:r>
      <w:r w:rsidRPr="00B61CC2">
        <w:rPr>
          <w:rFonts w:hAnsi="Times New Roman" w:cs="Times New Roman"/>
        </w:rPr>
        <w:t>and</w:t>
      </w:r>
      <w:r>
        <w:rPr>
          <w:rFonts w:hAnsi="Times New Roman" w:cs="Times New Roman"/>
        </w:rPr>
        <w:t xml:space="preserve"> after</w:t>
      </w:r>
      <w:r w:rsidRPr="00B61CC2">
        <w:rPr>
          <w:rFonts w:hAnsi="Times New Roman" w:cs="Times New Roman"/>
        </w:rPr>
        <w:t xml:space="preserve"> conducting a hearing, pursuant to </w:t>
      </w:r>
      <w:r w:rsidR="00BD1A14">
        <w:rPr>
          <w:rFonts w:hAnsi="Times New Roman" w:cs="Times New Roman"/>
        </w:rPr>
        <w:t>Section 76</w:t>
      </w:r>
      <w:r w:rsidR="001A3EFA">
        <w:rPr>
          <w:rFonts w:hAnsi="Times New Roman" w:cs="Times New Roman"/>
        </w:rPr>
        <w:t>(4)(b)</w:t>
      </w:r>
      <w:r>
        <w:rPr>
          <w:rFonts w:hAnsi="Times New Roman" w:cs="Times New Roman"/>
        </w:rPr>
        <w:t xml:space="preserve"> of the </w:t>
      </w:r>
      <w:r w:rsidRPr="00823282">
        <w:rPr>
          <w:rFonts w:hAnsi="Times New Roman" w:cs="Times New Roman"/>
          <w:i/>
        </w:rPr>
        <w:t>Heritage Act 1995</w:t>
      </w:r>
      <w:r>
        <w:rPr>
          <w:rFonts w:hAnsi="Times New Roman" w:cs="Times New Roman"/>
        </w:rPr>
        <w:t>, the Heritage Council has</w:t>
      </w:r>
      <w:r w:rsidR="001A3EFA">
        <w:rPr>
          <w:rFonts w:hAnsi="Times New Roman" w:cs="Times New Roman"/>
        </w:rPr>
        <w:t xml:space="preserve"> determined </w:t>
      </w:r>
      <w:r w:rsidR="001A3EFA" w:rsidRPr="00DC0BBC">
        <w:rPr>
          <w:rFonts w:hAnsi="Times New Roman" w:cs="Times New Roman"/>
        </w:rPr>
        <w:t>to confirm the decision of the Executive Direct</w:t>
      </w:r>
      <w:r w:rsidR="0018618E" w:rsidRPr="00DC0BBC">
        <w:rPr>
          <w:rFonts w:hAnsi="Times New Roman" w:cs="Times New Roman"/>
        </w:rPr>
        <w:t>or</w:t>
      </w:r>
      <w:r w:rsidR="007D1CF2" w:rsidRPr="00DC0BBC">
        <w:rPr>
          <w:rFonts w:hAnsi="Times New Roman" w:cs="Times New Roman"/>
        </w:rPr>
        <w:t xml:space="preserve"> and</w:t>
      </w:r>
      <w:r w:rsidR="00CD4A8F">
        <w:rPr>
          <w:rFonts w:hAnsi="Times New Roman" w:cs="Times New Roman"/>
        </w:rPr>
        <w:t xml:space="preserve"> determines to</w:t>
      </w:r>
      <w:r w:rsidR="007D1CF2">
        <w:rPr>
          <w:rFonts w:hAnsi="Times New Roman" w:cs="Times New Roman"/>
        </w:rPr>
        <w:t xml:space="preserve"> </w:t>
      </w:r>
      <w:r w:rsidR="00A6000D">
        <w:rPr>
          <w:rFonts w:hAnsi="Times New Roman" w:cs="Times New Roman"/>
        </w:rPr>
        <w:t xml:space="preserve">refuse to issue a </w:t>
      </w:r>
      <w:r w:rsidR="007D00A3">
        <w:rPr>
          <w:rFonts w:hAnsi="Times New Roman" w:cs="Times New Roman"/>
        </w:rPr>
        <w:t xml:space="preserve">permit </w:t>
      </w:r>
      <w:r>
        <w:rPr>
          <w:rFonts w:hAnsi="Times New Roman" w:cs="Times New Roman"/>
        </w:rPr>
        <w:t xml:space="preserve">in relation to the </w:t>
      </w:r>
      <w:r w:rsidR="00A6000D">
        <w:rPr>
          <w:rFonts w:hAnsi="Times New Roman" w:cs="Times New Roman"/>
        </w:rPr>
        <w:t>proposed works</w:t>
      </w:r>
      <w:r>
        <w:rPr>
          <w:rFonts w:hAnsi="Times New Roman" w:cs="Times New Roman"/>
        </w:rPr>
        <w:t>.</w:t>
      </w:r>
    </w:p>
    <w:p w14:paraId="675314B8" w14:textId="77777777" w:rsidR="00A61044" w:rsidRDefault="00A61044" w:rsidP="0007387C">
      <w:pPr>
        <w:spacing w:before="120"/>
        <w:rPr>
          <w:rFonts w:hAnsi="Times New Roman" w:cs="Times New Roman"/>
        </w:rPr>
      </w:pPr>
    </w:p>
    <w:p w14:paraId="794EBFAA" w14:textId="77777777" w:rsidR="0007387C" w:rsidRPr="00B61CC2" w:rsidRDefault="0007387C" w:rsidP="0007387C">
      <w:pPr>
        <w:spacing w:before="120"/>
        <w:rPr>
          <w:rFonts w:hAnsi="Times New Roman" w:cs="Times New Roman"/>
        </w:rPr>
      </w:pPr>
    </w:p>
    <w:p w14:paraId="5D1BE161" w14:textId="77777777" w:rsidR="00623C7C" w:rsidRDefault="00623C7C" w:rsidP="0007387C">
      <w:pPr>
        <w:spacing w:before="120"/>
        <w:rPr>
          <w:rFonts w:hAnsi="Times New Roman" w:cs="Times New Roman"/>
          <w:noProof/>
          <w:lang w:val="en-AU" w:eastAsia="en-AU"/>
        </w:rPr>
      </w:pPr>
    </w:p>
    <w:p w14:paraId="11A23390" w14:textId="77777777" w:rsidR="00914E06" w:rsidRPr="00914E06" w:rsidRDefault="00357B60" w:rsidP="0007387C">
      <w:pPr>
        <w:spacing w:before="120"/>
        <w:rPr>
          <w:rFonts w:hAnsi="Times New Roman" w:cs="Times New Roman"/>
          <w:noProof/>
          <w:u w:val="single"/>
          <w:lang w:val="en-AU" w:eastAsia="en-AU"/>
        </w:rPr>
      </w:pPr>
      <w:r>
        <w:rPr>
          <w:rFonts w:hAnsi="Times New Roman" w:cs="Times New Roman"/>
          <w:noProof/>
          <w:u w:val="single"/>
          <w:lang w:val="en-AU" w:eastAsia="en-AU"/>
        </w:rPr>
        <w:t xml:space="preserve">Heritage Council Permits </w:t>
      </w:r>
      <w:r w:rsidR="00116636">
        <w:rPr>
          <w:rFonts w:hAnsi="Times New Roman" w:cs="Times New Roman"/>
          <w:noProof/>
          <w:u w:val="single"/>
          <w:lang w:val="en-AU" w:eastAsia="en-AU"/>
        </w:rPr>
        <w:t>Committee:</w:t>
      </w:r>
    </w:p>
    <w:p w14:paraId="16A0CF51" w14:textId="77777777" w:rsidR="00A61044" w:rsidRDefault="00A61044" w:rsidP="0007387C">
      <w:pPr>
        <w:spacing w:before="120"/>
        <w:rPr>
          <w:rFonts w:hAnsi="Times New Roman" w:cs="Times New Roman"/>
          <w:b/>
          <w:noProof/>
          <w:lang w:val="en-AU" w:eastAsia="en-AU"/>
        </w:rPr>
      </w:pPr>
    </w:p>
    <w:p w14:paraId="323E0C27" w14:textId="77777777" w:rsidR="00914E06" w:rsidRPr="00914E06" w:rsidRDefault="007D00A3" w:rsidP="0007387C">
      <w:pPr>
        <w:spacing w:before="120"/>
        <w:rPr>
          <w:rFonts w:hAnsi="Times New Roman" w:cs="Times New Roman"/>
          <w:b/>
          <w:noProof/>
          <w:lang w:val="en-AU" w:eastAsia="en-AU"/>
        </w:rPr>
      </w:pPr>
      <w:r>
        <w:rPr>
          <w:rFonts w:hAnsi="Times New Roman" w:cs="Times New Roman"/>
          <w:b/>
          <w:noProof/>
          <w:lang w:val="en-AU" w:eastAsia="en-AU"/>
        </w:rPr>
        <w:t>Jenny Moles</w:t>
      </w:r>
      <w:r w:rsidR="00914E06" w:rsidRPr="00914E06">
        <w:rPr>
          <w:rFonts w:hAnsi="Times New Roman" w:cs="Times New Roman"/>
          <w:b/>
          <w:noProof/>
          <w:lang w:val="en-AU" w:eastAsia="en-AU"/>
        </w:rPr>
        <w:t xml:space="preserve"> (Chair)</w:t>
      </w:r>
    </w:p>
    <w:p w14:paraId="1164F0B7" w14:textId="77777777" w:rsidR="00914E06" w:rsidRPr="00914E06" w:rsidRDefault="007D00A3" w:rsidP="0007387C">
      <w:pPr>
        <w:spacing w:before="120"/>
        <w:rPr>
          <w:rFonts w:hAnsi="Times New Roman" w:cs="Times New Roman"/>
          <w:b/>
          <w:noProof/>
          <w:lang w:val="en-AU" w:eastAsia="en-AU"/>
        </w:rPr>
      </w:pPr>
      <w:r>
        <w:rPr>
          <w:rFonts w:hAnsi="Times New Roman" w:cs="Times New Roman"/>
          <w:b/>
          <w:noProof/>
          <w:lang w:val="en-AU" w:eastAsia="en-AU"/>
        </w:rPr>
        <w:t>Louise Honman</w:t>
      </w:r>
    </w:p>
    <w:p w14:paraId="687346F6" w14:textId="77777777" w:rsidR="0007387C" w:rsidRPr="00914E06" w:rsidRDefault="007D00A3" w:rsidP="0007387C">
      <w:pPr>
        <w:spacing w:before="120"/>
        <w:rPr>
          <w:rFonts w:hAnsi="Times New Roman" w:cs="Times New Roman"/>
          <w:b/>
          <w:noProof/>
          <w:lang w:val="en-AU" w:eastAsia="en-AU"/>
        </w:rPr>
      </w:pPr>
      <w:r>
        <w:rPr>
          <w:rFonts w:hAnsi="Times New Roman" w:cs="Times New Roman"/>
          <w:b/>
          <w:noProof/>
          <w:lang w:val="en-AU" w:eastAsia="en-AU"/>
        </w:rPr>
        <w:t>Lindsay Merritt</w:t>
      </w:r>
    </w:p>
    <w:p w14:paraId="29764B32" w14:textId="77777777" w:rsidR="0007387C" w:rsidRPr="00B61CC2" w:rsidRDefault="0007387C" w:rsidP="0007387C">
      <w:pPr>
        <w:tabs>
          <w:tab w:val="left" w:pos="6096"/>
        </w:tabs>
        <w:spacing w:before="120"/>
        <w:rPr>
          <w:rFonts w:hAnsi="Times New Roman" w:cs="Times New Roman"/>
          <w:i/>
          <w:iCs/>
        </w:rPr>
      </w:pPr>
    </w:p>
    <w:p w14:paraId="3A2F925C" w14:textId="77777777" w:rsidR="0007387C" w:rsidRPr="00B61CC2" w:rsidRDefault="0007387C" w:rsidP="0007387C">
      <w:pPr>
        <w:rPr>
          <w:rFonts w:eastAsia="Times New Roman Bold" w:hAnsi="Times New Roman" w:cs="Times New Roman"/>
        </w:rPr>
      </w:pPr>
    </w:p>
    <w:p w14:paraId="4E0E9B0E" w14:textId="77777777" w:rsidR="00ED2EA2" w:rsidRDefault="00ED2EA2" w:rsidP="0007387C">
      <w:pPr>
        <w:rPr>
          <w:rFonts w:eastAsia="Times New Roman Bold" w:hAnsi="Times New Roman" w:cs="Times New Roman"/>
        </w:rPr>
      </w:pPr>
    </w:p>
    <w:p w14:paraId="215F3471" w14:textId="77777777" w:rsidR="00ED2EA2" w:rsidRDefault="00ED2EA2" w:rsidP="0007387C">
      <w:pPr>
        <w:rPr>
          <w:rFonts w:eastAsia="Times New Roman Bold" w:hAnsi="Times New Roman" w:cs="Times New Roman"/>
        </w:rPr>
      </w:pPr>
    </w:p>
    <w:p w14:paraId="5C6B8A0C" w14:textId="77777777" w:rsidR="00ED2EA2" w:rsidRDefault="00ED2EA2" w:rsidP="0007387C">
      <w:pPr>
        <w:rPr>
          <w:rFonts w:eastAsia="Times New Roman Bold" w:hAnsi="Times New Roman" w:cs="Times New Roman"/>
        </w:rPr>
      </w:pPr>
    </w:p>
    <w:p w14:paraId="249BD4A3" w14:textId="77777777" w:rsidR="0007387C" w:rsidRPr="00B61CC2" w:rsidRDefault="0007387C" w:rsidP="0007387C">
      <w:pPr>
        <w:rPr>
          <w:rFonts w:eastAsia="Times New Roman Bold" w:hAnsi="Times New Roman" w:cs="Times New Roman"/>
        </w:rPr>
      </w:pPr>
    </w:p>
    <w:p w14:paraId="093948BC" w14:textId="77777777" w:rsidR="0007387C" w:rsidRPr="00B61CC2" w:rsidRDefault="0007387C" w:rsidP="0007387C">
      <w:pPr>
        <w:rPr>
          <w:rFonts w:eastAsia="Times New Roman Bold" w:hAnsi="Times New Roman" w:cs="Times New Roman"/>
        </w:rPr>
      </w:pPr>
      <w:r w:rsidRPr="00FA48E2">
        <w:rPr>
          <w:rFonts w:hAnsi="Times New Roman" w:cs="Times New Roman"/>
          <w:b/>
        </w:rPr>
        <w:t>Decision Date</w:t>
      </w:r>
      <w:r w:rsidR="00664105" w:rsidRPr="00FA48E2">
        <w:rPr>
          <w:rFonts w:hAnsi="Times New Roman" w:cs="Times New Roman"/>
          <w:b/>
        </w:rPr>
        <w:t>:</w:t>
      </w:r>
      <w:r w:rsidRPr="00832D42">
        <w:rPr>
          <w:rFonts w:hAnsi="Times New Roman" w:cs="Times New Roman"/>
        </w:rPr>
        <w:t xml:space="preserve"> </w:t>
      </w:r>
      <w:r w:rsidR="00832D42">
        <w:rPr>
          <w:rFonts w:hAnsi="Times New Roman" w:cs="Times New Roman"/>
        </w:rPr>
        <w:t xml:space="preserve"> </w:t>
      </w:r>
      <w:r w:rsidR="00832D42" w:rsidRPr="00832D42">
        <w:rPr>
          <w:rFonts w:hAnsi="Times New Roman" w:cs="Times New Roman"/>
        </w:rPr>
        <w:t>26</w:t>
      </w:r>
      <w:r w:rsidR="007C25E0" w:rsidRPr="00832D42">
        <w:rPr>
          <w:rFonts w:hAnsi="Times New Roman" w:cs="Times New Roman"/>
        </w:rPr>
        <w:t xml:space="preserve"> </w:t>
      </w:r>
      <w:r w:rsidR="007D00A3" w:rsidRPr="00832D42">
        <w:rPr>
          <w:rFonts w:hAnsi="Times New Roman" w:cs="Times New Roman"/>
        </w:rPr>
        <w:t>August</w:t>
      </w:r>
      <w:r w:rsidR="00623C7C" w:rsidRPr="00832D42">
        <w:rPr>
          <w:rFonts w:hAnsi="Times New Roman" w:cs="Times New Roman"/>
        </w:rPr>
        <w:t xml:space="preserve"> 2016</w:t>
      </w:r>
    </w:p>
    <w:p w14:paraId="75A80DC4" w14:textId="77777777" w:rsidR="0007387C" w:rsidRPr="00B61CC2" w:rsidRDefault="0007387C" w:rsidP="0007387C">
      <w:pPr>
        <w:rPr>
          <w:rFonts w:eastAsia="Times New Roman Bold" w:hAnsi="Times New Roman" w:cs="Times New Roman"/>
        </w:rPr>
      </w:pPr>
    </w:p>
    <w:p w14:paraId="4B24FE41" w14:textId="77777777" w:rsidR="0007387C" w:rsidRPr="00B61CC2" w:rsidRDefault="0007387C" w:rsidP="0007387C">
      <w:pPr>
        <w:pStyle w:val="Permit1"/>
        <w:rPr>
          <w:rFonts w:eastAsia="Times New Roman Bold" w:hAnsi="Times New Roman" w:cs="Times New Roman"/>
        </w:rPr>
      </w:pPr>
    </w:p>
    <w:p w14:paraId="653AECBC" w14:textId="77777777" w:rsidR="0007387C" w:rsidRPr="00B61CC2" w:rsidRDefault="0007387C" w:rsidP="007A6CC0">
      <w:pPr>
        <w:spacing w:before="120" w:after="120"/>
        <w:rPr>
          <w:rFonts w:hAnsi="Times New Roman" w:cs="Times New Roman"/>
        </w:rPr>
      </w:pPr>
      <w:r w:rsidRPr="00B61CC2">
        <w:rPr>
          <w:rFonts w:hAnsi="Times New Roman" w:cs="Times New Roman"/>
        </w:rPr>
        <w:br w:type="page"/>
      </w:r>
    </w:p>
    <w:p w14:paraId="2098E26F" w14:textId="77777777" w:rsidR="0007387C" w:rsidRPr="00B61CC2" w:rsidRDefault="0007387C" w:rsidP="0007387C">
      <w:pPr>
        <w:spacing w:after="120" w:line="240" w:lineRule="atLeast"/>
        <w:jc w:val="both"/>
        <w:rPr>
          <w:rFonts w:hAnsi="Times New Roman" w:cs="Times New Roman"/>
          <w:b/>
        </w:rPr>
      </w:pPr>
      <w:r w:rsidRPr="00B61CC2">
        <w:rPr>
          <w:rFonts w:hAnsi="Times New Roman" w:cs="Times New Roman"/>
          <w:b/>
        </w:rPr>
        <w:lastRenderedPageBreak/>
        <w:t>APPEARANCES</w:t>
      </w:r>
      <w:r w:rsidR="00284316">
        <w:rPr>
          <w:rFonts w:hAnsi="Times New Roman" w:cs="Times New Roman"/>
          <w:b/>
        </w:rPr>
        <w:t xml:space="preserve"> / SUBMISSIONS</w:t>
      </w:r>
    </w:p>
    <w:p w14:paraId="243372A6" w14:textId="77777777" w:rsidR="0007387C" w:rsidRPr="00B61CC2" w:rsidRDefault="0007387C" w:rsidP="0007387C">
      <w:pPr>
        <w:spacing w:after="120" w:line="240" w:lineRule="atLeast"/>
        <w:jc w:val="both"/>
        <w:rPr>
          <w:rFonts w:hAnsi="Times New Roman" w:cs="Times New Roman"/>
        </w:rPr>
      </w:pPr>
    </w:p>
    <w:p w14:paraId="64C2183A" w14:textId="77777777" w:rsidR="0007387C" w:rsidRPr="00B61CC2" w:rsidRDefault="0007387C" w:rsidP="0007387C">
      <w:pPr>
        <w:spacing w:after="120" w:line="240" w:lineRule="atLeast"/>
        <w:jc w:val="both"/>
        <w:rPr>
          <w:rFonts w:hAnsi="Times New Roman" w:cs="Times New Roman"/>
          <w:b/>
        </w:rPr>
      </w:pPr>
      <w:r w:rsidRPr="00B61CC2">
        <w:rPr>
          <w:rFonts w:hAnsi="Times New Roman" w:cs="Times New Roman"/>
          <w:b/>
        </w:rPr>
        <w:t>Executive Director, Heritage Victoria</w:t>
      </w:r>
      <w:r w:rsidR="00EE3662">
        <w:rPr>
          <w:rFonts w:hAnsi="Times New Roman" w:cs="Times New Roman"/>
          <w:b/>
        </w:rPr>
        <w:t xml:space="preserve"> (</w:t>
      </w:r>
      <w:r w:rsidR="009D0905">
        <w:rPr>
          <w:rFonts w:hAnsi="Times New Roman" w:cs="Times New Roman"/>
          <w:b/>
        </w:rPr>
        <w:t>‘the Executive Director’)</w:t>
      </w:r>
    </w:p>
    <w:p w14:paraId="052865AE" w14:textId="4BB62A0C" w:rsidR="0007387C" w:rsidRPr="00B61CC2" w:rsidRDefault="00A13616" w:rsidP="0007387C">
      <w:pPr>
        <w:spacing w:after="120"/>
        <w:jc w:val="both"/>
        <w:rPr>
          <w:rFonts w:hAnsi="Times New Roman" w:cs="Times New Roman"/>
        </w:rPr>
      </w:pPr>
      <w:r>
        <w:rPr>
          <w:rFonts w:hAnsi="Times New Roman" w:cs="Times New Roman"/>
        </w:rPr>
        <w:t xml:space="preserve">Mr Ian Munt of counsel appeared and made verbal submissions </w:t>
      </w:r>
      <w:r w:rsidRPr="00B61CC2">
        <w:rPr>
          <w:rFonts w:hAnsi="Times New Roman" w:cs="Times New Roman"/>
        </w:rPr>
        <w:t>represen</w:t>
      </w:r>
      <w:r>
        <w:rPr>
          <w:rFonts w:hAnsi="Times New Roman" w:cs="Times New Roman"/>
        </w:rPr>
        <w:t>ting</w:t>
      </w:r>
      <w:r w:rsidRPr="00B61CC2">
        <w:rPr>
          <w:rFonts w:hAnsi="Times New Roman" w:cs="Times New Roman"/>
        </w:rPr>
        <w:t xml:space="preserve"> the Executive Director</w:t>
      </w:r>
      <w:r>
        <w:rPr>
          <w:rFonts w:hAnsi="Times New Roman" w:cs="Times New Roman"/>
        </w:rPr>
        <w:t>.</w:t>
      </w:r>
      <w:r w:rsidR="00483433">
        <w:rPr>
          <w:rFonts w:hAnsi="Times New Roman" w:cs="Times New Roman"/>
        </w:rPr>
        <w:t xml:space="preserve"> Mr Munt was instructed by Ms Katerina Axiarlis of the Department of Environment, </w:t>
      </w:r>
      <w:r w:rsidR="00DC6306">
        <w:rPr>
          <w:rFonts w:hAnsi="Times New Roman" w:cs="Times New Roman"/>
        </w:rPr>
        <w:t xml:space="preserve">Land, </w:t>
      </w:r>
      <w:r w:rsidR="00483433">
        <w:rPr>
          <w:rFonts w:hAnsi="Times New Roman" w:cs="Times New Roman"/>
        </w:rPr>
        <w:t>Water and Planning.</w:t>
      </w:r>
      <w:r w:rsidRPr="00B61CC2">
        <w:rPr>
          <w:rFonts w:hAnsi="Times New Roman" w:cs="Times New Roman"/>
        </w:rPr>
        <w:t xml:space="preserve"> </w:t>
      </w:r>
      <w:r w:rsidR="0007387C" w:rsidRPr="00B61CC2">
        <w:rPr>
          <w:rFonts w:hAnsi="Times New Roman" w:cs="Times New Roman"/>
        </w:rPr>
        <w:t xml:space="preserve">Ms </w:t>
      </w:r>
      <w:r w:rsidR="00D915B9">
        <w:rPr>
          <w:rFonts w:hAnsi="Times New Roman" w:cs="Times New Roman"/>
        </w:rPr>
        <w:t xml:space="preserve">Janet Sullivan, Principal </w:t>
      </w:r>
      <w:r w:rsidR="00FA48E2">
        <w:rPr>
          <w:rFonts w:hAnsi="Times New Roman" w:cs="Times New Roman"/>
        </w:rPr>
        <w:t>-</w:t>
      </w:r>
      <w:r w:rsidR="00D915B9">
        <w:rPr>
          <w:rFonts w:hAnsi="Times New Roman" w:cs="Times New Roman"/>
        </w:rPr>
        <w:t xml:space="preserve"> </w:t>
      </w:r>
      <w:r w:rsidR="00AE69BF">
        <w:rPr>
          <w:rFonts w:hAnsi="Times New Roman" w:cs="Times New Roman"/>
        </w:rPr>
        <w:t xml:space="preserve">Heritage </w:t>
      </w:r>
      <w:r w:rsidR="00D915B9">
        <w:rPr>
          <w:rFonts w:hAnsi="Times New Roman" w:cs="Times New Roman"/>
        </w:rPr>
        <w:t>Permits,</w:t>
      </w:r>
      <w:r w:rsidR="0007387C" w:rsidRPr="00B61CC2">
        <w:rPr>
          <w:rFonts w:hAnsi="Times New Roman" w:cs="Times New Roman"/>
        </w:rPr>
        <w:t xml:space="preserve"> </w:t>
      </w:r>
      <w:r w:rsidR="00FA48E2">
        <w:rPr>
          <w:rFonts w:hAnsi="Times New Roman" w:cs="Times New Roman"/>
        </w:rPr>
        <w:t>and Mr Geoff Austin, Manager -</w:t>
      </w:r>
      <w:r w:rsidR="00D915B9">
        <w:rPr>
          <w:rFonts w:hAnsi="Times New Roman" w:cs="Times New Roman"/>
        </w:rPr>
        <w:t xml:space="preserve"> </w:t>
      </w:r>
      <w:r w:rsidR="00AE69BF">
        <w:rPr>
          <w:rFonts w:hAnsi="Times New Roman" w:cs="Times New Roman"/>
        </w:rPr>
        <w:t>Heritage Register and Permits</w:t>
      </w:r>
      <w:r>
        <w:rPr>
          <w:rFonts w:hAnsi="Times New Roman" w:cs="Times New Roman"/>
        </w:rPr>
        <w:t xml:space="preserve">, </w:t>
      </w:r>
      <w:r w:rsidR="00AE69BF">
        <w:rPr>
          <w:rFonts w:hAnsi="Times New Roman" w:cs="Times New Roman"/>
        </w:rPr>
        <w:t xml:space="preserve">both of </w:t>
      </w:r>
      <w:r w:rsidR="00AE69BF" w:rsidRPr="00B61CC2">
        <w:rPr>
          <w:rFonts w:hAnsi="Times New Roman" w:cs="Times New Roman"/>
        </w:rPr>
        <w:t>Heritage Victoria,</w:t>
      </w:r>
      <w:r w:rsidR="00AE69BF">
        <w:rPr>
          <w:rFonts w:hAnsi="Times New Roman" w:cs="Times New Roman"/>
        </w:rPr>
        <w:t xml:space="preserve"> </w:t>
      </w:r>
      <w:r>
        <w:rPr>
          <w:rFonts w:hAnsi="Times New Roman" w:cs="Times New Roman"/>
        </w:rPr>
        <w:t xml:space="preserve">were </w:t>
      </w:r>
      <w:r w:rsidR="00264BF6">
        <w:rPr>
          <w:rFonts w:hAnsi="Times New Roman" w:cs="Times New Roman"/>
        </w:rPr>
        <w:t>present and</w:t>
      </w:r>
      <w:r>
        <w:rPr>
          <w:rFonts w:hAnsi="Times New Roman" w:cs="Times New Roman"/>
        </w:rPr>
        <w:t xml:space="preserve"> available to answer questions</w:t>
      </w:r>
      <w:r w:rsidR="0007387C" w:rsidRPr="00B61CC2">
        <w:rPr>
          <w:rFonts w:hAnsi="Times New Roman" w:cs="Times New Roman"/>
        </w:rPr>
        <w:t xml:space="preserve">. </w:t>
      </w:r>
    </w:p>
    <w:p w14:paraId="79D17A4E" w14:textId="77777777" w:rsidR="0007387C" w:rsidRPr="00B61CC2" w:rsidRDefault="0007387C" w:rsidP="0007387C">
      <w:pPr>
        <w:spacing w:after="120" w:line="240" w:lineRule="atLeast"/>
        <w:jc w:val="both"/>
        <w:rPr>
          <w:rFonts w:hAnsi="Times New Roman" w:cs="Times New Roman"/>
        </w:rPr>
      </w:pPr>
    </w:p>
    <w:p w14:paraId="744E0814" w14:textId="77777777" w:rsidR="002E47F7" w:rsidRDefault="002E47F7" w:rsidP="0007387C">
      <w:pPr>
        <w:spacing w:after="120" w:line="240" w:lineRule="atLeast"/>
        <w:jc w:val="both"/>
        <w:rPr>
          <w:rFonts w:hAnsi="Times New Roman" w:cs="Times New Roman"/>
          <w:b/>
        </w:rPr>
      </w:pPr>
      <w:r>
        <w:rPr>
          <w:rFonts w:hAnsi="Times New Roman" w:cs="Times New Roman"/>
          <w:b/>
        </w:rPr>
        <w:t xml:space="preserve">The owner of the Place, </w:t>
      </w:r>
      <w:r w:rsidR="00AE45B4">
        <w:rPr>
          <w:rFonts w:hAnsi="Times New Roman" w:cs="Times New Roman"/>
          <w:b/>
        </w:rPr>
        <w:t xml:space="preserve">Caydon Cremorne </w:t>
      </w:r>
      <w:r>
        <w:rPr>
          <w:rFonts w:hAnsi="Times New Roman" w:cs="Times New Roman"/>
          <w:b/>
        </w:rPr>
        <w:t xml:space="preserve">Developments </w:t>
      </w:r>
      <w:r w:rsidR="00AE45B4">
        <w:rPr>
          <w:rFonts w:hAnsi="Times New Roman" w:cs="Times New Roman"/>
          <w:b/>
        </w:rPr>
        <w:t>Pty Ltd</w:t>
      </w:r>
      <w:r w:rsidR="00EE3662">
        <w:rPr>
          <w:rFonts w:hAnsi="Times New Roman" w:cs="Times New Roman"/>
          <w:b/>
        </w:rPr>
        <w:t xml:space="preserve"> </w:t>
      </w:r>
      <w:r w:rsidR="009D0905">
        <w:rPr>
          <w:rFonts w:hAnsi="Times New Roman" w:cs="Times New Roman"/>
          <w:b/>
        </w:rPr>
        <w:t>(‘</w:t>
      </w:r>
      <w:r w:rsidR="0076279D">
        <w:rPr>
          <w:rFonts w:hAnsi="Times New Roman" w:cs="Times New Roman"/>
          <w:b/>
        </w:rPr>
        <w:t xml:space="preserve">the </w:t>
      </w:r>
      <w:r w:rsidR="0007387C" w:rsidRPr="00B61CC2">
        <w:rPr>
          <w:rFonts w:hAnsi="Times New Roman" w:cs="Times New Roman"/>
          <w:b/>
        </w:rPr>
        <w:t>Appellant</w:t>
      </w:r>
      <w:r w:rsidR="009D0905">
        <w:rPr>
          <w:rFonts w:hAnsi="Times New Roman" w:cs="Times New Roman"/>
          <w:b/>
        </w:rPr>
        <w:t>’)</w:t>
      </w:r>
    </w:p>
    <w:p w14:paraId="7098F04F" w14:textId="77777777" w:rsidR="002E47F7" w:rsidRDefault="00584F4D" w:rsidP="0007387C">
      <w:pPr>
        <w:spacing w:after="120" w:line="240" w:lineRule="atLeast"/>
        <w:jc w:val="both"/>
        <w:rPr>
          <w:rFonts w:hAnsi="Times New Roman" w:cs="Times New Roman"/>
        </w:rPr>
      </w:pPr>
      <w:r>
        <w:rPr>
          <w:rFonts w:hAnsi="Times New Roman" w:cs="Times New Roman"/>
        </w:rPr>
        <w:t xml:space="preserve">The </w:t>
      </w:r>
      <w:r w:rsidR="00AE45B4">
        <w:rPr>
          <w:rFonts w:hAnsi="Times New Roman" w:cs="Times New Roman"/>
        </w:rPr>
        <w:t>Appellant was represented by Mr John Cicero</w:t>
      </w:r>
      <w:r w:rsidR="0007387C" w:rsidRPr="00B61CC2">
        <w:rPr>
          <w:rFonts w:hAnsi="Times New Roman" w:cs="Times New Roman"/>
        </w:rPr>
        <w:t xml:space="preserve"> </w:t>
      </w:r>
      <w:r w:rsidR="00244C27">
        <w:rPr>
          <w:rFonts w:hAnsi="Times New Roman" w:cs="Times New Roman"/>
        </w:rPr>
        <w:t>of</w:t>
      </w:r>
      <w:r w:rsidR="0007387C" w:rsidRPr="00B61CC2">
        <w:rPr>
          <w:rFonts w:hAnsi="Times New Roman" w:cs="Times New Roman"/>
        </w:rPr>
        <w:t xml:space="preserve"> </w:t>
      </w:r>
      <w:r w:rsidR="00AE45B4">
        <w:rPr>
          <w:rFonts w:hAnsi="Times New Roman" w:cs="Times New Roman"/>
        </w:rPr>
        <w:t>Best Hooper Lawyers</w:t>
      </w:r>
      <w:r w:rsidR="00183FDC">
        <w:rPr>
          <w:rFonts w:hAnsi="Times New Roman" w:cs="Times New Roman"/>
        </w:rPr>
        <w:t>.</w:t>
      </w:r>
      <w:r w:rsidR="00AA228E">
        <w:rPr>
          <w:rFonts w:hAnsi="Times New Roman" w:cs="Times New Roman"/>
        </w:rPr>
        <w:t xml:space="preserve"> </w:t>
      </w:r>
      <w:r w:rsidR="00183FDC">
        <w:rPr>
          <w:rFonts w:hAnsi="Times New Roman" w:cs="Times New Roman"/>
        </w:rPr>
        <w:t>The Appellant’s</w:t>
      </w:r>
      <w:r w:rsidR="00AA228E">
        <w:rPr>
          <w:rFonts w:hAnsi="Times New Roman" w:cs="Times New Roman"/>
        </w:rPr>
        <w:t xml:space="preserve"> written submissions </w:t>
      </w:r>
      <w:r w:rsidR="000901BE">
        <w:rPr>
          <w:rFonts w:hAnsi="Times New Roman" w:cs="Times New Roman"/>
        </w:rPr>
        <w:t>included</w:t>
      </w:r>
      <w:r w:rsidR="00183FDC">
        <w:rPr>
          <w:rFonts w:hAnsi="Times New Roman" w:cs="Times New Roman"/>
        </w:rPr>
        <w:t xml:space="preserve"> </w:t>
      </w:r>
      <w:r w:rsidR="00244C27">
        <w:rPr>
          <w:rFonts w:hAnsi="Times New Roman" w:cs="Times New Roman"/>
        </w:rPr>
        <w:t>statement</w:t>
      </w:r>
      <w:r w:rsidR="000901BE">
        <w:rPr>
          <w:rFonts w:hAnsi="Times New Roman" w:cs="Times New Roman"/>
        </w:rPr>
        <w:t>s</w:t>
      </w:r>
      <w:r w:rsidR="00244C27">
        <w:rPr>
          <w:rFonts w:hAnsi="Times New Roman" w:cs="Times New Roman"/>
        </w:rPr>
        <w:t xml:space="preserve"> of evidence from </w:t>
      </w:r>
      <w:r w:rsidR="002E47F7">
        <w:rPr>
          <w:rFonts w:hAnsi="Times New Roman" w:cs="Times New Roman"/>
        </w:rPr>
        <w:t>the following persons:</w:t>
      </w:r>
    </w:p>
    <w:p w14:paraId="3647E915" w14:textId="77777777" w:rsidR="002E47F7" w:rsidRDefault="002E47F7" w:rsidP="0007387C">
      <w:pPr>
        <w:spacing w:after="120" w:line="240" w:lineRule="atLeast"/>
        <w:jc w:val="both"/>
        <w:rPr>
          <w:rFonts w:hAnsi="Times New Roman" w:cs="Times New Roman"/>
        </w:rPr>
      </w:pPr>
      <w:r>
        <w:rPr>
          <w:rFonts w:hAnsi="Times New Roman" w:cs="Times New Roman"/>
        </w:rPr>
        <w:tab/>
        <w:t xml:space="preserve">- </w:t>
      </w:r>
      <w:r w:rsidR="006028A2">
        <w:rPr>
          <w:rFonts w:hAnsi="Times New Roman" w:cs="Times New Roman"/>
        </w:rPr>
        <w:t>Mr Peter Lovell of Lovell Chen</w:t>
      </w:r>
    </w:p>
    <w:p w14:paraId="7FC59122" w14:textId="77777777" w:rsidR="002E47F7" w:rsidRDefault="002E47F7" w:rsidP="0007387C">
      <w:pPr>
        <w:spacing w:after="120" w:line="240" w:lineRule="atLeast"/>
        <w:jc w:val="both"/>
        <w:rPr>
          <w:rFonts w:hAnsi="Times New Roman" w:cs="Times New Roman"/>
        </w:rPr>
      </w:pPr>
      <w:r>
        <w:rPr>
          <w:rFonts w:hAnsi="Times New Roman" w:cs="Times New Roman"/>
        </w:rPr>
        <w:tab/>
        <w:t xml:space="preserve">- </w:t>
      </w:r>
      <w:r w:rsidR="006028A2">
        <w:rPr>
          <w:rFonts w:hAnsi="Times New Roman" w:cs="Times New Roman"/>
        </w:rPr>
        <w:t>Mr Bryce Raworth of Bryce Raworth Pty Ltd</w:t>
      </w:r>
    </w:p>
    <w:p w14:paraId="595DC2A1" w14:textId="77777777" w:rsidR="006028A2" w:rsidRDefault="002E47F7" w:rsidP="0007387C">
      <w:pPr>
        <w:spacing w:after="120" w:line="240" w:lineRule="atLeast"/>
        <w:jc w:val="both"/>
        <w:rPr>
          <w:rFonts w:hAnsi="Times New Roman" w:cs="Times New Roman"/>
        </w:rPr>
      </w:pPr>
      <w:r>
        <w:rPr>
          <w:rFonts w:hAnsi="Times New Roman" w:cs="Times New Roman"/>
        </w:rPr>
        <w:tab/>
        <w:t xml:space="preserve">- </w:t>
      </w:r>
      <w:r w:rsidR="006028A2">
        <w:rPr>
          <w:rFonts w:hAnsi="Times New Roman" w:cs="Times New Roman"/>
        </w:rPr>
        <w:t>Mr David Sutherland of Fender Katsalidis</w:t>
      </w:r>
      <w:r w:rsidR="00E75698">
        <w:rPr>
          <w:rFonts w:hAnsi="Times New Roman" w:cs="Times New Roman"/>
        </w:rPr>
        <w:t xml:space="preserve"> Architects</w:t>
      </w:r>
    </w:p>
    <w:p w14:paraId="7D008F4C" w14:textId="77777777" w:rsidR="002E47F7" w:rsidRDefault="006028A2" w:rsidP="0007387C">
      <w:pPr>
        <w:spacing w:after="120" w:line="240" w:lineRule="atLeast"/>
        <w:jc w:val="both"/>
        <w:rPr>
          <w:rFonts w:hAnsi="Times New Roman" w:cs="Times New Roman"/>
        </w:rPr>
      </w:pPr>
      <w:r>
        <w:rPr>
          <w:rFonts w:hAnsi="Times New Roman" w:cs="Times New Roman"/>
        </w:rPr>
        <w:tab/>
        <w:t>- Mr Chris Goss of Orbit Solutions Pty Ltd</w:t>
      </w:r>
    </w:p>
    <w:p w14:paraId="19865DA2" w14:textId="77777777" w:rsidR="00584F4D" w:rsidRDefault="00584F4D" w:rsidP="00584F4D">
      <w:pPr>
        <w:spacing w:after="120" w:line="240" w:lineRule="atLeast"/>
        <w:ind w:left="993" w:hanging="993"/>
        <w:jc w:val="both"/>
        <w:rPr>
          <w:rFonts w:hAnsi="Times New Roman" w:cs="Times New Roman"/>
        </w:rPr>
      </w:pPr>
      <w:r>
        <w:rPr>
          <w:rFonts w:hAnsi="Times New Roman" w:cs="Times New Roman"/>
        </w:rPr>
        <w:t xml:space="preserve">            - Ms Georgia Willis of the Appellant</w:t>
      </w:r>
      <w:r w:rsidR="008F1EB7">
        <w:rPr>
          <w:rFonts w:hAnsi="Times New Roman" w:cs="Times New Roman"/>
        </w:rPr>
        <w:t>.</w:t>
      </w:r>
    </w:p>
    <w:p w14:paraId="52C2CF9D" w14:textId="77777777" w:rsidR="00EE3662" w:rsidRPr="002E47F7" w:rsidRDefault="00AE45B4" w:rsidP="0007387C">
      <w:pPr>
        <w:spacing w:after="120" w:line="240" w:lineRule="atLeast"/>
        <w:jc w:val="both"/>
        <w:rPr>
          <w:rFonts w:hAnsi="Times New Roman" w:cs="Times New Roman"/>
          <w:b/>
        </w:rPr>
      </w:pPr>
      <w:r>
        <w:rPr>
          <w:rFonts w:hAnsi="Times New Roman" w:cs="Times New Roman"/>
        </w:rPr>
        <w:t xml:space="preserve">Mr Cicero </w:t>
      </w:r>
      <w:r w:rsidR="00244C27">
        <w:rPr>
          <w:rFonts w:hAnsi="Times New Roman" w:cs="Times New Roman"/>
        </w:rPr>
        <w:t>appeared, made v</w:t>
      </w:r>
      <w:r w:rsidR="006028A2">
        <w:rPr>
          <w:rFonts w:hAnsi="Times New Roman" w:cs="Times New Roman"/>
        </w:rPr>
        <w:t>erbal submissions and called Mr Lovell, Mr Raworth and Mr Sutherland</w:t>
      </w:r>
      <w:r w:rsidR="00EE3662">
        <w:rPr>
          <w:rFonts w:hAnsi="Times New Roman" w:cs="Times New Roman"/>
        </w:rPr>
        <w:t xml:space="preserve"> to give expert </w:t>
      </w:r>
      <w:r w:rsidR="00584F4D">
        <w:rPr>
          <w:rFonts w:hAnsi="Times New Roman" w:cs="Times New Roman"/>
        </w:rPr>
        <w:t>evidence</w:t>
      </w:r>
      <w:r w:rsidR="00244C27">
        <w:rPr>
          <w:rFonts w:hAnsi="Times New Roman" w:cs="Times New Roman"/>
        </w:rPr>
        <w:t xml:space="preserve">. </w:t>
      </w:r>
      <w:r w:rsidR="00584F4D">
        <w:rPr>
          <w:rFonts w:hAnsi="Times New Roman" w:cs="Times New Roman"/>
        </w:rPr>
        <w:t>Ms Willis gave evidence concerning expenditure by the Appellant in relation to the</w:t>
      </w:r>
      <w:r w:rsidR="00711CCE">
        <w:rPr>
          <w:rFonts w:hAnsi="Times New Roman" w:cs="Times New Roman"/>
        </w:rPr>
        <w:t xml:space="preserve"> purchase and professional services relating to the</w:t>
      </w:r>
      <w:r w:rsidR="00584F4D">
        <w:rPr>
          <w:rFonts w:hAnsi="Times New Roman" w:cs="Times New Roman"/>
        </w:rPr>
        <w:t xml:space="preserve"> proposed development of the land. </w:t>
      </w:r>
      <w:r w:rsidR="005B6AF4">
        <w:rPr>
          <w:rFonts w:hAnsi="Times New Roman" w:cs="Times New Roman"/>
        </w:rPr>
        <w:t>Ms Carol Daicic, of Best Hooper</w:t>
      </w:r>
      <w:r w:rsidR="00711CCE">
        <w:rPr>
          <w:rFonts w:hAnsi="Times New Roman" w:cs="Times New Roman"/>
        </w:rPr>
        <w:t xml:space="preserve"> Lawyers</w:t>
      </w:r>
      <w:r w:rsidR="005B6AF4">
        <w:rPr>
          <w:rFonts w:hAnsi="Times New Roman" w:cs="Times New Roman"/>
        </w:rPr>
        <w:t xml:space="preserve">, </w:t>
      </w:r>
      <w:r w:rsidR="00584F4D">
        <w:rPr>
          <w:rFonts w:hAnsi="Times New Roman" w:cs="Times New Roman"/>
        </w:rPr>
        <w:t xml:space="preserve">was </w:t>
      </w:r>
      <w:r w:rsidR="005B6AF4">
        <w:rPr>
          <w:rFonts w:hAnsi="Times New Roman" w:cs="Times New Roman"/>
        </w:rPr>
        <w:t>also present.</w:t>
      </w:r>
    </w:p>
    <w:p w14:paraId="16A3A9FB" w14:textId="77777777" w:rsidR="00284316" w:rsidRPr="00EE3662" w:rsidRDefault="00284316" w:rsidP="0007387C">
      <w:pPr>
        <w:spacing w:after="120" w:line="240" w:lineRule="atLeast"/>
        <w:jc w:val="both"/>
        <w:rPr>
          <w:rFonts w:hAnsi="Times New Roman" w:cs="Times New Roman"/>
        </w:rPr>
      </w:pPr>
    </w:p>
    <w:p w14:paraId="1FBCC3E6" w14:textId="77777777" w:rsidR="0007387C" w:rsidRPr="00B61CC2" w:rsidRDefault="002E47F7" w:rsidP="0007387C">
      <w:pPr>
        <w:spacing w:after="120" w:line="240" w:lineRule="atLeast"/>
        <w:jc w:val="both"/>
        <w:rPr>
          <w:rFonts w:hAnsi="Times New Roman" w:cs="Times New Roman"/>
          <w:b/>
        </w:rPr>
      </w:pPr>
      <w:r>
        <w:rPr>
          <w:rFonts w:hAnsi="Times New Roman" w:cs="Times New Roman"/>
          <w:b/>
        </w:rPr>
        <w:t xml:space="preserve">Yarra City </w:t>
      </w:r>
      <w:r w:rsidR="00E30105">
        <w:rPr>
          <w:rFonts w:hAnsi="Times New Roman" w:cs="Times New Roman"/>
          <w:b/>
        </w:rPr>
        <w:t>Council</w:t>
      </w:r>
      <w:r>
        <w:rPr>
          <w:rFonts w:hAnsi="Times New Roman" w:cs="Times New Roman"/>
          <w:b/>
        </w:rPr>
        <w:t xml:space="preserve"> (‘Yarra’)</w:t>
      </w:r>
    </w:p>
    <w:p w14:paraId="27B40D7F" w14:textId="77777777" w:rsidR="00284316" w:rsidRDefault="002E47F7" w:rsidP="0007387C">
      <w:pPr>
        <w:spacing w:after="120" w:line="240" w:lineRule="atLeast"/>
        <w:jc w:val="both"/>
        <w:rPr>
          <w:rFonts w:hAnsi="Times New Roman" w:cs="Times New Roman"/>
        </w:rPr>
      </w:pPr>
      <w:r>
        <w:rPr>
          <w:rFonts w:hAnsi="Times New Roman" w:cs="Times New Roman"/>
        </w:rPr>
        <w:t>Yarra</w:t>
      </w:r>
      <w:r w:rsidR="00E0698F">
        <w:rPr>
          <w:rFonts w:hAnsi="Times New Roman" w:cs="Times New Roman"/>
        </w:rPr>
        <w:t xml:space="preserve"> was represented by Mr </w:t>
      </w:r>
      <w:r>
        <w:rPr>
          <w:rFonts w:hAnsi="Times New Roman" w:cs="Times New Roman"/>
        </w:rPr>
        <w:t>Terry Montebello</w:t>
      </w:r>
      <w:r w:rsidR="00183FDC">
        <w:rPr>
          <w:rFonts w:hAnsi="Times New Roman" w:cs="Times New Roman"/>
        </w:rPr>
        <w:t xml:space="preserve"> of </w:t>
      </w:r>
      <w:r>
        <w:rPr>
          <w:rFonts w:hAnsi="Times New Roman" w:cs="Times New Roman"/>
        </w:rPr>
        <w:t>Maddocks L</w:t>
      </w:r>
      <w:r w:rsidR="00584F4D">
        <w:rPr>
          <w:rFonts w:hAnsi="Times New Roman" w:cs="Times New Roman"/>
        </w:rPr>
        <w:t>awyers</w:t>
      </w:r>
      <w:r w:rsidR="00183FDC">
        <w:rPr>
          <w:rFonts w:hAnsi="Times New Roman" w:cs="Times New Roman"/>
        </w:rPr>
        <w:t xml:space="preserve">. </w:t>
      </w:r>
      <w:r>
        <w:rPr>
          <w:rFonts w:hAnsi="Times New Roman" w:cs="Times New Roman"/>
        </w:rPr>
        <w:t>Yarra</w:t>
      </w:r>
      <w:r w:rsidR="00183FDC">
        <w:rPr>
          <w:rFonts w:hAnsi="Times New Roman" w:cs="Times New Roman"/>
        </w:rPr>
        <w:t xml:space="preserve">’s </w:t>
      </w:r>
      <w:r w:rsidR="00E0698F">
        <w:rPr>
          <w:rFonts w:hAnsi="Times New Roman" w:cs="Times New Roman"/>
        </w:rPr>
        <w:t xml:space="preserve">written submissions </w:t>
      </w:r>
      <w:r w:rsidR="00183FDC">
        <w:rPr>
          <w:rFonts w:hAnsi="Times New Roman" w:cs="Times New Roman"/>
        </w:rPr>
        <w:t xml:space="preserve">included </w:t>
      </w:r>
      <w:r w:rsidR="00584F4D">
        <w:rPr>
          <w:rFonts w:hAnsi="Times New Roman" w:cs="Times New Roman"/>
        </w:rPr>
        <w:t xml:space="preserve">a </w:t>
      </w:r>
      <w:r w:rsidR="00E0698F">
        <w:rPr>
          <w:rFonts w:hAnsi="Times New Roman" w:cs="Times New Roman"/>
        </w:rPr>
        <w:t>statement of expert evidence from</w:t>
      </w:r>
      <w:r w:rsidR="00643912">
        <w:rPr>
          <w:rFonts w:hAnsi="Times New Roman" w:cs="Times New Roman"/>
        </w:rPr>
        <w:t xml:space="preserve"> Mr Bruce Trethowan of Trethowan Architecture. </w:t>
      </w:r>
      <w:r w:rsidR="00E0698F">
        <w:rPr>
          <w:rFonts w:hAnsi="Times New Roman" w:cs="Times New Roman"/>
        </w:rPr>
        <w:t xml:space="preserve">Mr </w:t>
      </w:r>
      <w:r w:rsidR="0024477F">
        <w:rPr>
          <w:rFonts w:hAnsi="Times New Roman" w:cs="Times New Roman"/>
        </w:rPr>
        <w:t>Montebello</w:t>
      </w:r>
      <w:r w:rsidR="00E0698F">
        <w:rPr>
          <w:rFonts w:hAnsi="Times New Roman" w:cs="Times New Roman"/>
        </w:rPr>
        <w:t xml:space="preserve"> appeared, made verbal submissions and </w:t>
      </w:r>
      <w:r w:rsidR="00284316">
        <w:rPr>
          <w:rFonts w:hAnsi="Times New Roman" w:cs="Times New Roman"/>
        </w:rPr>
        <w:t xml:space="preserve">called Mr </w:t>
      </w:r>
      <w:r w:rsidR="00C55A2A">
        <w:rPr>
          <w:rFonts w:hAnsi="Times New Roman" w:cs="Times New Roman"/>
        </w:rPr>
        <w:t>T</w:t>
      </w:r>
      <w:r w:rsidR="0024477F">
        <w:rPr>
          <w:rFonts w:hAnsi="Times New Roman" w:cs="Times New Roman"/>
        </w:rPr>
        <w:t>rethowan</w:t>
      </w:r>
      <w:r w:rsidR="00E30105">
        <w:rPr>
          <w:rFonts w:hAnsi="Times New Roman" w:cs="Times New Roman"/>
        </w:rPr>
        <w:t xml:space="preserve"> to give</w:t>
      </w:r>
      <w:r w:rsidR="00E0698F">
        <w:rPr>
          <w:rFonts w:hAnsi="Times New Roman" w:cs="Times New Roman"/>
        </w:rPr>
        <w:t xml:space="preserve"> expert </w:t>
      </w:r>
      <w:r w:rsidR="00584F4D">
        <w:rPr>
          <w:rFonts w:hAnsi="Times New Roman" w:cs="Times New Roman"/>
        </w:rPr>
        <w:t>evidence</w:t>
      </w:r>
      <w:r w:rsidR="0076279D">
        <w:rPr>
          <w:rFonts w:hAnsi="Times New Roman" w:cs="Times New Roman"/>
        </w:rPr>
        <w:t>.</w:t>
      </w:r>
    </w:p>
    <w:p w14:paraId="41768ACB" w14:textId="77777777" w:rsidR="0007387C" w:rsidRPr="00B61CC2" w:rsidRDefault="0007387C" w:rsidP="0007387C">
      <w:pPr>
        <w:spacing w:after="120" w:line="240" w:lineRule="atLeast"/>
        <w:jc w:val="both"/>
        <w:rPr>
          <w:rFonts w:hAnsi="Times New Roman" w:cs="Times New Roman"/>
        </w:rPr>
      </w:pPr>
    </w:p>
    <w:p w14:paraId="7BB7566C" w14:textId="77777777" w:rsidR="0007387C" w:rsidRPr="00EE3662" w:rsidRDefault="00F63F03" w:rsidP="0007387C">
      <w:pPr>
        <w:spacing w:after="120" w:line="240" w:lineRule="atLeast"/>
        <w:jc w:val="both"/>
        <w:rPr>
          <w:rFonts w:hAnsi="Times New Roman" w:cs="Times New Roman"/>
          <w:b/>
        </w:rPr>
      </w:pPr>
      <w:r>
        <w:rPr>
          <w:rFonts w:hAnsi="Times New Roman" w:cs="Times New Roman"/>
          <w:b/>
        </w:rPr>
        <w:t>Mr Michael Coffey</w:t>
      </w:r>
      <w:r w:rsidR="004B6D01">
        <w:rPr>
          <w:rFonts w:hAnsi="Times New Roman" w:cs="Times New Roman"/>
          <w:b/>
        </w:rPr>
        <w:t>, Chair, E</w:t>
      </w:r>
      <w:r w:rsidR="002D167D">
        <w:rPr>
          <w:rFonts w:hAnsi="Times New Roman" w:cs="Times New Roman"/>
          <w:b/>
        </w:rPr>
        <w:t>RA</w:t>
      </w:r>
      <w:r w:rsidR="004B6D01">
        <w:rPr>
          <w:rFonts w:hAnsi="Times New Roman" w:cs="Times New Roman"/>
          <w:b/>
        </w:rPr>
        <w:t xml:space="preserve"> Apartments Owners</w:t>
      </w:r>
      <w:r w:rsidR="00AE725E">
        <w:rPr>
          <w:rFonts w:hAnsi="Times New Roman" w:cs="Times New Roman"/>
          <w:b/>
        </w:rPr>
        <w:t>’</w:t>
      </w:r>
      <w:r w:rsidR="004B6D01">
        <w:rPr>
          <w:rFonts w:hAnsi="Times New Roman" w:cs="Times New Roman"/>
          <w:b/>
        </w:rPr>
        <w:t xml:space="preserve"> Corporation</w:t>
      </w:r>
    </w:p>
    <w:p w14:paraId="437B74C8" w14:textId="77777777" w:rsidR="0007387C" w:rsidRPr="00B61CC2" w:rsidRDefault="00EE3662" w:rsidP="0007387C">
      <w:pPr>
        <w:spacing w:after="120" w:line="240" w:lineRule="atLeast"/>
        <w:jc w:val="both"/>
        <w:rPr>
          <w:rFonts w:hAnsi="Times New Roman" w:cs="Times New Roman"/>
        </w:rPr>
      </w:pPr>
      <w:r>
        <w:rPr>
          <w:rFonts w:hAnsi="Times New Roman" w:cs="Times New Roman"/>
        </w:rPr>
        <w:t>A written s</w:t>
      </w:r>
      <w:r w:rsidR="00F63F03">
        <w:rPr>
          <w:rFonts w:hAnsi="Times New Roman" w:cs="Times New Roman"/>
        </w:rPr>
        <w:t xml:space="preserve">ubmission was received from Mr Michael Coffey. Mr Coffey </w:t>
      </w:r>
      <w:r>
        <w:rPr>
          <w:rFonts w:hAnsi="Times New Roman" w:cs="Times New Roman"/>
        </w:rPr>
        <w:t>appear</w:t>
      </w:r>
      <w:r w:rsidR="00F84439">
        <w:rPr>
          <w:rFonts w:hAnsi="Times New Roman" w:cs="Times New Roman"/>
        </w:rPr>
        <w:t>ed and made verbal submissions.</w:t>
      </w:r>
      <w:r w:rsidR="00584F4D">
        <w:rPr>
          <w:rFonts w:hAnsi="Times New Roman" w:cs="Times New Roman"/>
        </w:rPr>
        <w:t xml:space="preserve"> He was assisted by</w:t>
      </w:r>
      <w:r w:rsidR="00733371">
        <w:rPr>
          <w:rFonts w:hAnsi="Times New Roman" w:cs="Times New Roman"/>
        </w:rPr>
        <w:t xml:space="preserve"> Mr </w:t>
      </w:r>
      <w:r w:rsidR="00483433">
        <w:rPr>
          <w:rFonts w:hAnsi="Times New Roman" w:cs="Times New Roman"/>
        </w:rPr>
        <w:t xml:space="preserve">Barry Nathan </w:t>
      </w:r>
      <w:r w:rsidR="00733371">
        <w:rPr>
          <w:rFonts w:hAnsi="Times New Roman" w:cs="Times New Roman"/>
        </w:rPr>
        <w:t>and Mr</w:t>
      </w:r>
      <w:r w:rsidR="00483433">
        <w:rPr>
          <w:rFonts w:hAnsi="Times New Roman" w:cs="Times New Roman"/>
        </w:rPr>
        <w:t xml:space="preserve"> John Saunderson.</w:t>
      </w:r>
    </w:p>
    <w:p w14:paraId="723BE6C2" w14:textId="77777777" w:rsidR="004B6D01" w:rsidRDefault="004B6D01" w:rsidP="0007387C">
      <w:pPr>
        <w:spacing w:after="120" w:line="240" w:lineRule="atLeast"/>
        <w:jc w:val="both"/>
        <w:rPr>
          <w:rFonts w:hAnsi="Times New Roman" w:cs="Times New Roman"/>
        </w:rPr>
      </w:pPr>
    </w:p>
    <w:p w14:paraId="7F1092F7" w14:textId="77777777" w:rsidR="004B6D01" w:rsidRDefault="004B6D01" w:rsidP="0007387C">
      <w:pPr>
        <w:spacing w:after="120" w:line="240" w:lineRule="atLeast"/>
        <w:jc w:val="both"/>
        <w:rPr>
          <w:rFonts w:hAnsi="Times New Roman" w:cs="Times New Roman"/>
        </w:rPr>
      </w:pPr>
    </w:p>
    <w:p w14:paraId="39E2FC8D" w14:textId="77777777" w:rsidR="004B6D01" w:rsidRDefault="004B6D01" w:rsidP="0007387C">
      <w:pPr>
        <w:spacing w:after="120" w:line="240" w:lineRule="atLeast"/>
        <w:jc w:val="both"/>
        <w:rPr>
          <w:rFonts w:hAnsi="Times New Roman" w:cs="Times New Roman"/>
        </w:rPr>
      </w:pPr>
    </w:p>
    <w:p w14:paraId="53FF7993" w14:textId="77777777" w:rsidR="004B6D01" w:rsidRDefault="004B6D01" w:rsidP="0007387C">
      <w:pPr>
        <w:spacing w:after="120" w:line="240" w:lineRule="atLeast"/>
        <w:jc w:val="both"/>
        <w:rPr>
          <w:rFonts w:hAnsi="Times New Roman" w:cs="Times New Roman"/>
        </w:rPr>
      </w:pPr>
    </w:p>
    <w:p w14:paraId="0AE7D9C4" w14:textId="77777777" w:rsidR="004B6D01" w:rsidRDefault="004B6D01" w:rsidP="0007387C">
      <w:pPr>
        <w:spacing w:after="120" w:line="240" w:lineRule="atLeast"/>
        <w:jc w:val="both"/>
        <w:rPr>
          <w:rFonts w:hAnsi="Times New Roman" w:cs="Times New Roman"/>
        </w:rPr>
      </w:pPr>
    </w:p>
    <w:p w14:paraId="7B99F41D" w14:textId="77777777" w:rsidR="004B6D01" w:rsidRDefault="004B6D01" w:rsidP="0007387C">
      <w:pPr>
        <w:spacing w:after="120" w:line="240" w:lineRule="atLeast"/>
        <w:jc w:val="both"/>
        <w:rPr>
          <w:rFonts w:hAnsi="Times New Roman" w:cs="Times New Roman"/>
        </w:rPr>
      </w:pPr>
    </w:p>
    <w:p w14:paraId="5C36FA6A" w14:textId="77777777" w:rsidR="004B6D01" w:rsidRDefault="004B6D01" w:rsidP="0007387C">
      <w:pPr>
        <w:spacing w:after="120" w:line="240" w:lineRule="atLeast"/>
        <w:jc w:val="both"/>
        <w:rPr>
          <w:rFonts w:hAnsi="Times New Roman" w:cs="Times New Roman"/>
        </w:rPr>
      </w:pPr>
    </w:p>
    <w:p w14:paraId="44319457" w14:textId="77777777" w:rsidR="004B6D01" w:rsidRDefault="004B6D01" w:rsidP="0007387C">
      <w:pPr>
        <w:spacing w:after="120" w:line="240" w:lineRule="atLeast"/>
        <w:jc w:val="both"/>
        <w:rPr>
          <w:rFonts w:hAnsi="Times New Roman" w:cs="Times New Roman"/>
        </w:rPr>
      </w:pPr>
    </w:p>
    <w:p w14:paraId="3D14B3A9" w14:textId="77777777" w:rsidR="0007387C" w:rsidRPr="00B61CC2" w:rsidRDefault="0007387C" w:rsidP="0007387C">
      <w:pPr>
        <w:spacing w:after="120" w:line="240" w:lineRule="atLeast"/>
        <w:jc w:val="both"/>
        <w:rPr>
          <w:rFonts w:hAnsi="Times New Roman" w:cs="Times New Roman"/>
        </w:rPr>
      </w:pPr>
    </w:p>
    <w:p w14:paraId="5E3D1D01" w14:textId="77777777" w:rsidR="0007387C" w:rsidRPr="00A37C71" w:rsidRDefault="0007387C" w:rsidP="0007387C">
      <w:pPr>
        <w:pStyle w:val="Heading1"/>
        <w:rPr>
          <w:rFonts w:ascii="Times New Roman" w:hAnsi="Times New Roman" w:cs="Times New Roman"/>
          <w:b/>
        </w:rPr>
      </w:pPr>
      <w:r w:rsidRPr="00A37C71">
        <w:rPr>
          <w:rFonts w:ascii="Times New Roman" w:hAnsi="Times New Roman" w:cs="Times New Roman"/>
          <w:b/>
        </w:rPr>
        <w:lastRenderedPageBreak/>
        <w:t>Introduction/background</w:t>
      </w:r>
    </w:p>
    <w:p w14:paraId="698E9B8F" w14:textId="77777777" w:rsidR="0007387C" w:rsidRPr="00873CFC" w:rsidRDefault="0007387C" w:rsidP="00DB11EA">
      <w:pPr>
        <w:pStyle w:val="Heading2"/>
        <w:tabs>
          <w:tab w:val="left" w:pos="426"/>
        </w:tabs>
        <w:rPr>
          <w:rFonts w:ascii="Times New Roman" w:hAnsi="Times New Roman" w:cs="Times New Roman"/>
          <w:b/>
          <w:sz w:val="24"/>
          <w:szCs w:val="24"/>
        </w:rPr>
      </w:pPr>
      <w:r w:rsidRPr="00873CFC">
        <w:rPr>
          <w:rFonts w:ascii="Times New Roman" w:hAnsi="Times New Roman" w:cs="Times New Roman"/>
          <w:b/>
          <w:sz w:val="24"/>
          <w:szCs w:val="24"/>
        </w:rPr>
        <w:t>The Place</w:t>
      </w:r>
    </w:p>
    <w:p w14:paraId="1EF2A1E1" w14:textId="77777777" w:rsidR="005239D6" w:rsidRDefault="009D5924" w:rsidP="00E43D0B">
      <w:pPr>
        <w:pStyle w:val="Para1"/>
        <w:numPr>
          <w:ilvl w:val="0"/>
          <w:numId w:val="8"/>
        </w:numPr>
        <w:ind w:left="567" w:hanging="567"/>
        <w:rPr>
          <w:rFonts w:hAnsi="Times New Roman" w:cs="Times New Roman"/>
        </w:rPr>
      </w:pPr>
      <w:r>
        <w:rPr>
          <w:rFonts w:hAnsi="Times New Roman" w:cs="Times New Roman"/>
        </w:rPr>
        <w:t xml:space="preserve">The Barrett Bursting </w:t>
      </w:r>
      <w:r w:rsidR="00702088">
        <w:rPr>
          <w:rFonts w:hAnsi="Times New Roman" w:cs="Times New Roman"/>
        </w:rPr>
        <w:t>Richmo</w:t>
      </w:r>
      <w:r w:rsidR="004B6D01">
        <w:rPr>
          <w:rFonts w:hAnsi="Times New Roman" w:cs="Times New Roman"/>
        </w:rPr>
        <w:t>nd Maltings</w:t>
      </w:r>
      <w:r w:rsidR="0051476F">
        <w:rPr>
          <w:rFonts w:hAnsi="Times New Roman" w:cs="Times New Roman"/>
        </w:rPr>
        <w:t xml:space="preserve"> </w:t>
      </w:r>
      <w:r>
        <w:rPr>
          <w:rFonts w:hAnsi="Times New Roman" w:cs="Times New Roman"/>
        </w:rPr>
        <w:t xml:space="preserve">site </w:t>
      </w:r>
      <w:r w:rsidR="008F1EB7">
        <w:rPr>
          <w:rFonts w:hAnsi="Times New Roman" w:cs="Times New Roman"/>
        </w:rPr>
        <w:t xml:space="preserve">is located </w:t>
      </w:r>
      <w:r>
        <w:rPr>
          <w:rFonts w:hAnsi="Times New Roman" w:cs="Times New Roman"/>
        </w:rPr>
        <w:t xml:space="preserve">at 2 and </w:t>
      </w:r>
      <w:r w:rsidRPr="005239D6">
        <w:rPr>
          <w:rFonts w:hAnsi="Times New Roman" w:cs="Times New Roman"/>
        </w:rPr>
        <w:t>15</w:t>
      </w:r>
      <w:r>
        <w:rPr>
          <w:rFonts w:hAnsi="Times New Roman" w:cs="Times New Roman"/>
        </w:rPr>
        <w:t xml:space="preserve"> Gough Street</w:t>
      </w:r>
      <w:r w:rsidR="00BD62A9">
        <w:rPr>
          <w:rFonts w:hAnsi="Times New Roman" w:cs="Times New Roman"/>
        </w:rPr>
        <w:t>,</w:t>
      </w:r>
      <w:r>
        <w:rPr>
          <w:rFonts w:hAnsi="Times New Roman" w:cs="Times New Roman"/>
        </w:rPr>
        <w:t xml:space="preserve"> Cremorne</w:t>
      </w:r>
      <w:r w:rsidR="008F1EB7">
        <w:rPr>
          <w:rFonts w:hAnsi="Times New Roman" w:cs="Times New Roman"/>
        </w:rPr>
        <w:t>.</w:t>
      </w:r>
      <w:r w:rsidR="002D167D">
        <w:rPr>
          <w:rFonts w:hAnsi="Times New Roman" w:cs="Times New Roman"/>
        </w:rPr>
        <w:t xml:space="preserve"> </w:t>
      </w:r>
      <w:r w:rsidR="00691384">
        <w:rPr>
          <w:rFonts w:hAnsi="Times New Roman" w:cs="Times New Roman"/>
        </w:rPr>
        <w:t>Part of t</w:t>
      </w:r>
      <w:r w:rsidR="00EC76FE">
        <w:rPr>
          <w:rFonts w:hAnsi="Times New Roman" w:cs="Times New Roman"/>
        </w:rPr>
        <w:t xml:space="preserve">he </w:t>
      </w:r>
      <w:r w:rsidR="005239D6">
        <w:rPr>
          <w:rFonts w:hAnsi="Times New Roman" w:cs="Times New Roman"/>
        </w:rPr>
        <w:t>land at 2 Gough Street is the subject of this appeal.</w:t>
      </w:r>
    </w:p>
    <w:p w14:paraId="5D3901EA" w14:textId="77777777" w:rsidR="008F1EB7" w:rsidRDefault="00BD62A9" w:rsidP="00E43D0B">
      <w:pPr>
        <w:pStyle w:val="Para1"/>
        <w:numPr>
          <w:ilvl w:val="0"/>
          <w:numId w:val="8"/>
        </w:numPr>
        <w:ind w:left="567" w:hanging="567"/>
        <w:rPr>
          <w:rFonts w:hAnsi="Times New Roman" w:cs="Times New Roman"/>
        </w:rPr>
      </w:pPr>
      <w:r w:rsidRPr="007F4265">
        <w:rPr>
          <w:rFonts w:hAnsi="Times New Roman" w:cs="Times New Roman"/>
        </w:rPr>
        <w:t xml:space="preserve">The </w:t>
      </w:r>
      <w:r w:rsidR="005239D6" w:rsidRPr="007F4265">
        <w:rPr>
          <w:rFonts w:hAnsi="Times New Roman" w:cs="Times New Roman"/>
        </w:rPr>
        <w:t>land at 2 Gough Street</w:t>
      </w:r>
      <w:r w:rsidRPr="007F4265">
        <w:rPr>
          <w:rFonts w:hAnsi="Times New Roman" w:cs="Times New Roman"/>
        </w:rPr>
        <w:t xml:space="preserve"> is an irregularly shaped parcel of</w:t>
      </w:r>
      <w:r w:rsidR="008F1EB7" w:rsidRPr="007F4265">
        <w:rPr>
          <w:rFonts w:hAnsi="Times New Roman" w:cs="Times New Roman"/>
        </w:rPr>
        <w:t xml:space="preserve"> </w:t>
      </w:r>
      <w:r w:rsidR="00B37641" w:rsidRPr="007F4265">
        <w:rPr>
          <w:rFonts w:hAnsi="Times New Roman" w:cs="Times New Roman"/>
        </w:rPr>
        <w:t>11,025</w:t>
      </w:r>
      <w:r w:rsidR="008F1EB7" w:rsidRPr="007F4265">
        <w:rPr>
          <w:rFonts w:hAnsi="Times New Roman" w:cs="Times New Roman"/>
        </w:rPr>
        <w:t xml:space="preserve"> square metres in area</w:t>
      </w:r>
      <w:r w:rsidR="00A92126" w:rsidRPr="007F4265">
        <w:rPr>
          <w:rFonts w:hAnsi="Times New Roman" w:cs="Times New Roman"/>
        </w:rPr>
        <w:t xml:space="preserve"> with</w:t>
      </w:r>
      <w:r w:rsidR="008F1EB7" w:rsidRPr="007F4265">
        <w:rPr>
          <w:rFonts w:hAnsi="Times New Roman" w:cs="Times New Roman"/>
        </w:rPr>
        <w:t xml:space="preserve"> a</w:t>
      </w:r>
      <w:r w:rsidR="00BE467D">
        <w:rPr>
          <w:rFonts w:hAnsi="Times New Roman" w:cs="Times New Roman"/>
        </w:rPr>
        <w:t>n</w:t>
      </w:r>
      <w:r w:rsidR="008F1EB7" w:rsidRPr="007F4265">
        <w:rPr>
          <w:rFonts w:hAnsi="Times New Roman" w:cs="Times New Roman"/>
        </w:rPr>
        <w:t xml:space="preserve"> </w:t>
      </w:r>
      <w:r w:rsidR="00BE467D">
        <w:rPr>
          <w:rFonts w:hAnsi="Times New Roman" w:cs="Times New Roman"/>
        </w:rPr>
        <w:t>abuttal</w:t>
      </w:r>
      <w:r w:rsidR="00BE467D" w:rsidRPr="007F4265">
        <w:rPr>
          <w:rFonts w:hAnsi="Times New Roman" w:cs="Times New Roman"/>
        </w:rPr>
        <w:t xml:space="preserve"> </w:t>
      </w:r>
      <w:r w:rsidR="008F1EB7" w:rsidRPr="007F4265">
        <w:rPr>
          <w:rFonts w:hAnsi="Times New Roman" w:cs="Times New Roman"/>
        </w:rPr>
        <w:t xml:space="preserve">to the southern side of Gough Street of </w:t>
      </w:r>
      <w:r w:rsidR="00B37641" w:rsidRPr="007F4265">
        <w:rPr>
          <w:rFonts w:hAnsi="Times New Roman" w:cs="Times New Roman"/>
        </w:rPr>
        <w:t xml:space="preserve">161 </w:t>
      </w:r>
      <w:r w:rsidR="00D01B17" w:rsidRPr="007F4265">
        <w:rPr>
          <w:rFonts w:hAnsi="Times New Roman" w:cs="Times New Roman"/>
        </w:rPr>
        <w:t>metres</w:t>
      </w:r>
      <w:r w:rsidR="00B37641" w:rsidRPr="007F4265">
        <w:rPr>
          <w:rFonts w:hAnsi="Times New Roman" w:cs="Times New Roman"/>
        </w:rPr>
        <w:t xml:space="preserve"> and a 68.7 </w:t>
      </w:r>
      <w:r w:rsidR="008F1EB7" w:rsidRPr="007F4265">
        <w:rPr>
          <w:rFonts w:hAnsi="Times New Roman" w:cs="Times New Roman"/>
        </w:rPr>
        <w:t xml:space="preserve">metre </w:t>
      </w:r>
      <w:r w:rsidR="00BE467D">
        <w:rPr>
          <w:rFonts w:hAnsi="Times New Roman" w:cs="Times New Roman"/>
        </w:rPr>
        <w:t>abuttal</w:t>
      </w:r>
      <w:r w:rsidR="00BE467D" w:rsidRPr="007F4265">
        <w:rPr>
          <w:rFonts w:hAnsi="Times New Roman" w:cs="Times New Roman"/>
        </w:rPr>
        <w:t xml:space="preserve"> </w:t>
      </w:r>
      <w:r w:rsidR="008F1EB7" w:rsidRPr="007F4265">
        <w:rPr>
          <w:rFonts w:hAnsi="Times New Roman" w:cs="Times New Roman"/>
        </w:rPr>
        <w:t>to the western side of Cremorne Street. It is bounded on the south by Ha</w:t>
      </w:r>
      <w:r w:rsidR="00A92126" w:rsidRPr="007F4265">
        <w:rPr>
          <w:rFonts w:hAnsi="Times New Roman" w:cs="Times New Roman"/>
        </w:rPr>
        <w:t>rcourt Parade and the Monash F</w:t>
      </w:r>
      <w:r w:rsidR="008F1EB7" w:rsidRPr="007F4265">
        <w:rPr>
          <w:rFonts w:hAnsi="Times New Roman" w:cs="Times New Roman"/>
        </w:rPr>
        <w:t>reeway</w:t>
      </w:r>
      <w:r w:rsidR="00725B07">
        <w:rPr>
          <w:rFonts w:hAnsi="Times New Roman" w:cs="Times New Roman"/>
        </w:rPr>
        <w:t>,</w:t>
      </w:r>
      <w:r w:rsidR="008F1EB7" w:rsidRPr="007F4265">
        <w:rPr>
          <w:rFonts w:hAnsi="Times New Roman" w:cs="Times New Roman"/>
        </w:rPr>
        <w:t xml:space="preserve"> both of which run </w:t>
      </w:r>
      <w:r w:rsidR="00BE467D">
        <w:rPr>
          <w:rFonts w:hAnsi="Times New Roman" w:cs="Times New Roman"/>
        </w:rPr>
        <w:t>beside</w:t>
      </w:r>
      <w:r w:rsidR="00BE467D" w:rsidRPr="007F4265">
        <w:rPr>
          <w:rFonts w:hAnsi="Times New Roman" w:cs="Times New Roman"/>
        </w:rPr>
        <w:t xml:space="preserve"> </w:t>
      </w:r>
      <w:r w:rsidR="008F1EB7" w:rsidRPr="007F4265">
        <w:rPr>
          <w:rFonts w:hAnsi="Times New Roman" w:cs="Times New Roman"/>
        </w:rPr>
        <w:t xml:space="preserve">the Yarra River </w:t>
      </w:r>
      <w:r w:rsidR="00BE467D">
        <w:rPr>
          <w:rFonts w:hAnsi="Times New Roman" w:cs="Times New Roman"/>
        </w:rPr>
        <w:t>immediately further</w:t>
      </w:r>
      <w:r w:rsidR="002D167D" w:rsidRPr="007F4265">
        <w:rPr>
          <w:rFonts w:hAnsi="Times New Roman" w:cs="Times New Roman"/>
        </w:rPr>
        <w:t xml:space="preserve"> </w:t>
      </w:r>
      <w:r w:rsidR="008F1EB7" w:rsidRPr="007F4265">
        <w:rPr>
          <w:rFonts w:hAnsi="Times New Roman" w:cs="Times New Roman"/>
        </w:rPr>
        <w:t xml:space="preserve">south. The </w:t>
      </w:r>
      <w:r w:rsidR="005239D6" w:rsidRPr="007F4265">
        <w:rPr>
          <w:rFonts w:hAnsi="Times New Roman" w:cs="Times New Roman"/>
        </w:rPr>
        <w:t>land is situated</w:t>
      </w:r>
      <w:r w:rsidR="008F1EB7" w:rsidRPr="007F4265">
        <w:rPr>
          <w:rFonts w:hAnsi="Times New Roman" w:cs="Times New Roman"/>
        </w:rPr>
        <w:t xml:space="preserve"> immediately east of Punt Road. It forms part of an area </w:t>
      </w:r>
      <w:r w:rsidR="00A92126" w:rsidRPr="007F4265">
        <w:rPr>
          <w:rFonts w:hAnsi="Times New Roman" w:cs="Times New Roman"/>
        </w:rPr>
        <w:t xml:space="preserve">formerly used for industry </w:t>
      </w:r>
      <w:r w:rsidRPr="007F4265">
        <w:rPr>
          <w:rFonts w:hAnsi="Times New Roman" w:cs="Times New Roman"/>
        </w:rPr>
        <w:t xml:space="preserve">and warehousing and associated workers’ housing </w:t>
      </w:r>
      <w:r w:rsidR="00A92126" w:rsidRPr="007F4265">
        <w:rPr>
          <w:rFonts w:hAnsi="Times New Roman" w:cs="Times New Roman"/>
        </w:rPr>
        <w:t>but now increasingly used for residential and office purposes</w:t>
      </w:r>
      <w:r w:rsidR="008F1EB7" w:rsidRPr="007F4265">
        <w:rPr>
          <w:rFonts w:hAnsi="Times New Roman" w:cs="Times New Roman"/>
        </w:rPr>
        <w:t>. O</w:t>
      </w:r>
      <w:r w:rsidR="002D167D" w:rsidRPr="007F4265">
        <w:rPr>
          <w:rFonts w:hAnsi="Times New Roman" w:cs="Times New Roman"/>
        </w:rPr>
        <w:t xml:space="preserve">pposite the </w:t>
      </w:r>
      <w:r w:rsidR="005239D6" w:rsidRPr="007F4265">
        <w:rPr>
          <w:rFonts w:hAnsi="Times New Roman" w:cs="Times New Roman"/>
        </w:rPr>
        <w:t>land</w:t>
      </w:r>
      <w:r w:rsidR="002D167D" w:rsidRPr="007F4265">
        <w:rPr>
          <w:rFonts w:hAnsi="Times New Roman" w:cs="Times New Roman"/>
        </w:rPr>
        <w:t xml:space="preserve"> o</w:t>
      </w:r>
      <w:r w:rsidR="008F1EB7" w:rsidRPr="007F4265">
        <w:rPr>
          <w:rFonts w:hAnsi="Times New Roman" w:cs="Times New Roman"/>
        </w:rPr>
        <w:t>n the eastern side of Cremorne Street</w:t>
      </w:r>
      <w:r w:rsidR="002D167D" w:rsidRPr="007F4265">
        <w:rPr>
          <w:rFonts w:hAnsi="Times New Roman" w:cs="Times New Roman"/>
        </w:rPr>
        <w:t xml:space="preserve"> is a recently constructed </w:t>
      </w:r>
      <w:r w:rsidR="00D01B17" w:rsidRPr="007F4265">
        <w:rPr>
          <w:rFonts w:hAnsi="Times New Roman" w:cs="Times New Roman"/>
        </w:rPr>
        <w:t>10</w:t>
      </w:r>
      <w:r w:rsidR="002D167D" w:rsidRPr="007F4265">
        <w:rPr>
          <w:rFonts w:hAnsi="Times New Roman" w:cs="Times New Roman"/>
        </w:rPr>
        <w:t xml:space="preserve"> storey </w:t>
      </w:r>
      <w:r w:rsidR="00D01B17" w:rsidRPr="007F4265">
        <w:rPr>
          <w:rFonts w:hAnsi="Times New Roman" w:cs="Times New Roman"/>
        </w:rPr>
        <w:t>building with</w:t>
      </w:r>
      <w:r w:rsidR="002D167D" w:rsidRPr="007F4265">
        <w:rPr>
          <w:rFonts w:hAnsi="Times New Roman" w:cs="Times New Roman"/>
        </w:rPr>
        <w:t xml:space="preserve"> </w:t>
      </w:r>
      <w:r w:rsidR="00333660" w:rsidRPr="007F4265">
        <w:rPr>
          <w:rFonts w:hAnsi="Times New Roman" w:cs="Times New Roman"/>
        </w:rPr>
        <w:t>upper</w:t>
      </w:r>
      <w:r w:rsidR="00333660">
        <w:rPr>
          <w:rFonts w:hAnsi="Times New Roman" w:cs="Times New Roman"/>
        </w:rPr>
        <w:t xml:space="preserve"> level </w:t>
      </w:r>
      <w:r w:rsidR="002D167D">
        <w:rPr>
          <w:rFonts w:hAnsi="Times New Roman" w:cs="Times New Roman"/>
        </w:rPr>
        <w:t>apartments (</w:t>
      </w:r>
      <w:r w:rsidR="00CC05C2">
        <w:rPr>
          <w:rFonts w:hAnsi="Times New Roman" w:cs="Times New Roman"/>
        </w:rPr>
        <w:t>‘</w:t>
      </w:r>
      <w:r w:rsidR="002D167D">
        <w:rPr>
          <w:rFonts w:hAnsi="Times New Roman" w:cs="Times New Roman"/>
        </w:rPr>
        <w:t>the ERA Apartments</w:t>
      </w:r>
      <w:r w:rsidR="00CC05C2">
        <w:rPr>
          <w:rFonts w:hAnsi="Times New Roman" w:cs="Times New Roman"/>
        </w:rPr>
        <w:t>’</w:t>
      </w:r>
      <w:r w:rsidR="002D167D">
        <w:rPr>
          <w:rFonts w:hAnsi="Times New Roman" w:cs="Times New Roman"/>
        </w:rPr>
        <w:t>)</w:t>
      </w:r>
      <w:r w:rsidR="00D01B17">
        <w:rPr>
          <w:rFonts w:hAnsi="Times New Roman" w:cs="Times New Roman"/>
        </w:rPr>
        <w:t xml:space="preserve"> and offices in a three storey podium</w:t>
      </w:r>
      <w:r w:rsidR="002D167D">
        <w:rPr>
          <w:rFonts w:hAnsi="Times New Roman" w:cs="Times New Roman"/>
        </w:rPr>
        <w:t>.</w:t>
      </w:r>
    </w:p>
    <w:p w14:paraId="6F0B4B4A" w14:textId="77777777" w:rsidR="00FC7831" w:rsidRDefault="00686460" w:rsidP="00E43D0B">
      <w:pPr>
        <w:pStyle w:val="Para1"/>
        <w:numPr>
          <w:ilvl w:val="0"/>
          <w:numId w:val="8"/>
        </w:numPr>
        <w:ind w:left="567" w:hanging="567"/>
        <w:rPr>
          <w:rFonts w:hAnsi="Times New Roman" w:cs="Times New Roman"/>
        </w:rPr>
      </w:pPr>
      <w:r w:rsidRPr="00686460">
        <w:rPr>
          <w:rFonts w:hAnsi="Times New Roman" w:cs="Times New Roman"/>
        </w:rPr>
        <w:t xml:space="preserve">The Barrett Burston Richmond Maltings site was initially developed as a brewing and malting site in the 1850s-60s. </w:t>
      </w:r>
      <w:r w:rsidR="00BE467D">
        <w:rPr>
          <w:rFonts w:hAnsi="Times New Roman" w:cs="Times New Roman"/>
        </w:rPr>
        <w:t>By 1879</w:t>
      </w:r>
      <w:r w:rsidR="00BE467D" w:rsidRPr="00686460">
        <w:rPr>
          <w:rFonts w:hAnsi="Times New Roman" w:cs="Times New Roman"/>
        </w:rPr>
        <w:t xml:space="preserve"> </w:t>
      </w:r>
      <w:r w:rsidR="00BE467D">
        <w:rPr>
          <w:rFonts w:hAnsi="Times New Roman" w:cs="Times New Roman"/>
        </w:rPr>
        <w:t>t</w:t>
      </w:r>
      <w:r w:rsidR="00D01B17">
        <w:rPr>
          <w:rFonts w:hAnsi="Times New Roman" w:cs="Times New Roman"/>
        </w:rPr>
        <w:t xml:space="preserve">he site was exclusively used for </w:t>
      </w:r>
      <w:r w:rsidRPr="00686460">
        <w:rPr>
          <w:rFonts w:hAnsi="Times New Roman" w:cs="Times New Roman"/>
        </w:rPr>
        <w:t>malting</w:t>
      </w:r>
      <w:r w:rsidR="00BE467D">
        <w:rPr>
          <w:rFonts w:hAnsi="Times New Roman" w:cs="Times New Roman"/>
        </w:rPr>
        <w:t>, being</w:t>
      </w:r>
      <w:r w:rsidR="00725B07">
        <w:rPr>
          <w:rFonts w:hAnsi="Times New Roman" w:cs="Times New Roman"/>
        </w:rPr>
        <w:t xml:space="preserve"> </w:t>
      </w:r>
      <w:r w:rsidR="00C3765E">
        <w:rPr>
          <w:rFonts w:hAnsi="Times New Roman" w:cs="Times New Roman"/>
        </w:rPr>
        <w:t>the artificial germination and kilning of grain used in the fermentation process. Malting</w:t>
      </w:r>
      <w:r w:rsidRPr="00686460">
        <w:rPr>
          <w:rFonts w:hAnsi="Times New Roman" w:cs="Times New Roman"/>
        </w:rPr>
        <w:t xml:space="preserve"> </w:t>
      </w:r>
      <w:r w:rsidR="00690586">
        <w:rPr>
          <w:rFonts w:hAnsi="Times New Roman" w:cs="Times New Roman"/>
        </w:rPr>
        <w:t xml:space="preserve">continued </w:t>
      </w:r>
      <w:r w:rsidR="0034699E">
        <w:rPr>
          <w:rFonts w:hAnsi="Times New Roman" w:cs="Times New Roman"/>
        </w:rPr>
        <w:t xml:space="preserve">and evolved </w:t>
      </w:r>
      <w:r w:rsidR="00690586">
        <w:rPr>
          <w:rFonts w:hAnsi="Times New Roman" w:cs="Times New Roman"/>
        </w:rPr>
        <w:t>on the site</w:t>
      </w:r>
      <w:r w:rsidR="0034699E">
        <w:rPr>
          <w:rFonts w:hAnsi="Times New Roman" w:cs="Times New Roman"/>
        </w:rPr>
        <w:t xml:space="preserve"> up</w:t>
      </w:r>
      <w:r w:rsidR="00690586">
        <w:rPr>
          <w:rFonts w:hAnsi="Times New Roman" w:cs="Times New Roman"/>
        </w:rPr>
        <w:t xml:space="preserve"> until the present day</w:t>
      </w:r>
      <w:r w:rsidRPr="00686460">
        <w:rPr>
          <w:rFonts w:hAnsi="Times New Roman" w:cs="Times New Roman"/>
        </w:rPr>
        <w:t>.</w:t>
      </w:r>
      <w:r>
        <w:rPr>
          <w:rFonts w:hAnsi="Times New Roman" w:cs="Times New Roman"/>
        </w:rPr>
        <w:t xml:space="preserve"> </w:t>
      </w:r>
      <w:r w:rsidR="000C68A7">
        <w:rPr>
          <w:rFonts w:hAnsi="Times New Roman" w:cs="Times New Roman"/>
        </w:rPr>
        <w:t>Malt</w:t>
      </w:r>
      <w:r w:rsidRPr="00686460">
        <w:rPr>
          <w:rFonts w:hAnsi="Times New Roman" w:cs="Times New Roman"/>
        </w:rPr>
        <w:t xml:space="preserve"> houses, stores, silos (including </w:t>
      </w:r>
      <w:r w:rsidR="000C68A7">
        <w:rPr>
          <w:rFonts w:hAnsi="Times New Roman" w:cs="Times New Roman"/>
        </w:rPr>
        <w:t xml:space="preserve">some from the 1960s supporting </w:t>
      </w:r>
      <w:r w:rsidRPr="00686460">
        <w:rPr>
          <w:rFonts w:hAnsi="Times New Roman" w:cs="Times New Roman"/>
        </w:rPr>
        <w:t>the illuminated Nylex sky sign</w:t>
      </w:r>
      <w:r>
        <w:rPr>
          <w:rFonts w:hAnsi="Times New Roman" w:cs="Times New Roman"/>
        </w:rPr>
        <w:t xml:space="preserve"> </w:t>
      </w:r>
      <w:r w:rsidRPr="00686460">
        <w:rPr>
          <w:rFonts w:hAnsi="Times New Roman" w:cs="Times New Roman"/>
        </w:rPr>
        <w:t>and clock) and offices</w:t>
      </w:r>
      <w:r w:rsidR="00486325">
        <w:rPr>
          <w:rFonts w:hAnsi="Times New Roman" w:cs="Times New Roman"/>
        </w:rPr>
        <w:t xml:space="preserve"> </w:t>
      </w:r>
      <w:r w:rsidR="000C68A7">
        <w:rPr>
          <w:rFonts w:hAnsi="Times New Roman" w:cs="Times New Roman"/>
        </w:rPr>
        <w:t xml:space="preserve">remain on the </w:t>
      </w:r>
      <w:r w:rsidR="005239D6">
        <w:rPr>
          <w:rFonts w:hAnsi="Times New Roman" w:cs="Times New Roman"/>
        </w:rPr>
        <w:t xml:space="preserve">land at 2 Gough Street </w:t>
      </w:r>
      <w:r w:rsidR="000C68A7">
        <w:rPr>
          <w:rFonts w:hAnsi="Times New Roman" w:cs="Times New Roman"/>
        </w:rPr>
        <w:t>today</w:t>
      </w:r>
      <w:r w:rsidRPr="00686460">
        <w:rPr>
          <w:rFonts w:hAnsi="Times New Roman" w:cs="Times New Roman"/>
        </w:rPr>
        <w:t>.</w:t>
      </w:r>
      <w:r w:rsidR="000C68A7">
        <w:rPr>
          <w:rFonts w:hAnsi="Times New Roman" w:cs="Times New Roman"/>
        </w:rPr>
        <w:t xml:space="preserve"> The </w:t>
      </w:r>
      <w:r w:rsidR="005239D6">
        <w:rPr>
          <w:rFonts w:hAnsi="Times New Roman" w:cs="Times New Roman"/>
        </w:rPr>
        <w:t xml:space="preserve">land </w:t>
      </w:r>
      <w:r w:rsidR="000C68A7">
        <w:rPr>
          <w:rFonts w:hAnsi="Times New Roman" w:cs="Times New Roman"/>
        </w:rPr>
        <w:t>is currently used for</w:t>
      </w:r>
      <w:r w:rsidR="00300FBB">
        <w:rPr>
          <w:rFonts w:hAnsi="Times New Roman" w:cs="Times New Roman"/>
        </w:rPr>
        <w:t xml:space="preserve"> a variety of purposes,</w:t>
      </w:r>
      <w:r w:rsidR="000C68A7">
        <w:rPr>
          <w:rFonts w:hAnsi="Times New Roman" w:cs="Times New Roman"/>
        </w:rPr>
        <w:t xml:space="preserve"> </w:t>
      </w:r>
      <w:r w:rsidR="00300FBB">
        <w:rPr>
          <w:rFonts w:hAnsi="Times New Roman" w:cs="Times New Roman"/>
        </w:rPr>
        <w:t>including as</w:t>
      </w:r>
      <w:r w:rsidR="000C68A7">
        <w:rPr>
          <w:rFonts w:hAnsi="Times New Roman" w:cs="Times New Roman"/>
        </w:rPr>
        <w:t xml:space="preserve"> a grain store</w:t>
      </w:r>
      <w:r w:rsidR="00300FBB">
        <w:rPr>
          <w:rFonts w:hAnsi="Times New Roman" w:cs="Times New Roman"/>
        </w:rPr>
        <w:t>,</w:t>
      </w:r>
      <w:r w:rsidR="000C68A7">
        <w:rPr>
          <w:rFonts w:hAnsi="Times New Roman" w:cs="Times New Roman"/>
        </w:rPr>
        <w:t xml:space="preserve"> </w:t>
      </w:r>
      <w:r w:rsidR="00300FBB">
        <w:rPr>
          <w:rFonts w:hAnsi="Times New Roman" w:cs="Times New Roman"/>
        </w:rPr>
        <w:t xml:space="preserve">as office space </w:t>
      </w:r>
      <w:r w:rsidR="000C68A7">
        <w:rPr>
          <w:rFonts w:hAnsi="Times New Roman" w:cs="Times New Roman"/>
        </w:rPr>
        <w:t>and for the display of advertising signs.</w:t>
      </w:r>
    </w:p>
    <w:p w14:paraId="1F545B8F" w14:textId="62E5693F" w:rsidR="002D167D" w:rsidRDefault="002D167D" w:rsidP="00E43D0B">
      <w:pPr>
        <w:pStyle w:val="Para1"/>
        <w:numPr>
          <w:ilvl w:val="0"/>
          <w:numId w:val="8"/>
        </w:numPr>
        <w:ind w:left="567" w:hanging="567"/>
        <w:rPr>
          <w:rFonts w:hAnsi="Times New Roman" w:cs="Times New Roman"/>
        </w:rPr>
      </w:pPr>
      <w:r>
        <w:rPr>
          <w:rFonts w:hAnsi="Times New Roman" w:cs="Times New Roman"/>
        </w:rPr>
        <w:t xml:space="preserve">The </w:t>
      </w:r>
      <w:r w:rsidR="00BE467D">
        <w:rPr>
          <w:rFonts w:hAnsi="Times New Roman" w:cs="Times New Roman"/>
        </w:rPr>
        <w:t xml:space="preserve">site </w:t>
      </w:r>
      <w:r w:rsidR="005239D6">
        <w:rPr>
          <w:rFonts w:hAnsi="Times New Roman" w:cs="Times New Roman"/>
        </w:rPr>
        <w:t xml:space="preserve">at 2 </w:t>
      </w:r>
      <w:r w:rsidR="00BE467D">
        <w:rPr>
          <w:rFonts w:hAnsi="Times New Roman" w:cs="Times New Roman"/>
        </w:rPr>
        <w:t xml:space="preserve">and 15 </w:t>
      </w:r>
      <w:r w:rsidR="005239D6">
        <w:rPr>
          <w:rFonts w:hAnsi="Times New Roman" w:cs="Times New Roman"/>
        </w:rPr>
        <w:t>Gough Street</w:t>
      </w:r>
      <w:r>
        <w:rPr>
          <w:rFonts w:hAnsi="Times New Roman" w:cs="Times New Roman"/>
        </w:rPr>
        <w:t xml:space="preserve"> </w:t>
      </w:r>
      <w:r w:rsidR="005239D6">
        <w:rPr>
          <w:rFonts w:hAnsi="Times New Roman" w:cs="Times New Roman"/>
        </w:rPr>
        <w:t xml:space="preserve">(‘the Place’) </w:t>
      </w:r>
      <w:r>
        <w:rPr>
          <w:rFonts w:hAnsi="Times New Roman" w:cs="Times New Roman"/>
        </w:rPr>
        <w:t xml:space="preserve">was included </w:t>
      </w:r>
      <w:r w:rsidR="007049E0">
        <w:rPr>
          <w:rFonts w:hAnsi="Times New Roman" w:cs="Times New Roman"/>
        </w:rPr>
        <w:t xml:space="preserve">in </w:t>
      </w:r>
      <w:r>
        <w:rPr>
          <w:rFonts w:hAnsi="Times New Roman" w:cs="Times New Roman"/>
        </w:rPr>
        <w:t>the Victorian Heritage Register (‘the Register’) on 25 March 2004</w:t>
      </w:r>
      <w:r w:rsidR="00D01B17">
        <w:rPr>
          <w:rFonts w:hAnsi="Times New Roman" w:cs="Times New Roman"/>
        </w:rPr>
        <w:t xml:space="preserve"> (H2050)</w:t>
      </w:r>
      <w:r w:rsidRPr="00B61CC2">
        <w:rPr>
          <w:rFonts w:hAnsi="Times New Roman" w:cs="Times New Roman"/>
        </w:rPr>
        <w:t>.</w:t>
      </w:r>
      <w:r>
        <w:rPr>
          <w:rFonts w:hAnsi="Times New Roman" w:cs="Times New Roman"/>
        </w:rPr>
        <w:t xml:space="preserve"> </w:t>
      </w:r>
    </w:p>
    <w:p w14:paraId="0249323A" w14:textId="77777777" w:rsidR="00BA111A" w:rsidRDefault="00103970" w:rsidP="00E43D0B">
      <w:pPr>
        <w:pStyle w:val="Para1"/>
        <w:numPr>
          <w:ilvl w:val="0"/>
          <w:numId w:val="8"/>
        </w:numPr>
        <w:ind w:left="567" w:hanging="567"/>
        <w:rPr>
          <w:rFonts w:hAnsi="Times New Roman" w:cs="Times New Roman"/>
        </w:rPr>
      </w:pPr>
      <w:r>
        <w:rPr>
          <w:rFonts w:hAnsi="Times New Roman" w:cs="Times New Roman"/>
        </w:rPr>
        <w:t>The Place is included i</w:t>
      </w:r>
      <w:r w:rsidR="005752FA">
        <w:rPr>
          <w:rFonts w:hAnsi="Times New Roman" w:cs="Times New Roman"/>
        </w:rPr>
        <w:t>n the Register as a</w:t>
      </w:r>
      <w:r w:rsidR="0066450D">
        <w:rPr>
          <w:rFonts w:hAnsi="Times New Roman" w:cs="Times New Roman"/>
        </w:rPr>
        <w:t xml:space="preserve"> heritage</w:t>
      </w:r>
      <w:r w:rsidR="005752FA">
        <w:rPr>
          <w:rFonts w:hAnsi="Times New Roman" w:cs="Times New Roman"/>
        </w:rPr>
        <w:t xml:space="preserve"> place of historic, aest</w:t>
      </w:r>
      <w:r w:rsidR="004B6D01">
        <w:rPr>
          <w:rFonts w:hAnsi="Times New Roman" w:cs="Times New Roman"/>
        </w:rPr>
        <w:t>hetic,</w:t>
      </w:r>
      <w:r w:rsidR="00F74560">
        <w:rPr>
          <w:rFonts w:hAnsi="Times New Roman" w:cs="Times New Roman"/>
        </w:rPr>
        <w:t xml:space="preserve"> social, arch</w:t>
      </w:r>
      <w:r w:rsidR="00BA111A">
        <w:rPr>
          <w:rFonts w:hAnsi="Times New Roman" w:cs="Times New Roman"/>
        </w:rPr>
        <w:t>a</w:t>
      </w:r>
      <w:r w:rsidR="00F74560">
        <w:rPr>
          <w:rFonts w:hAnsi="Times New Roman" w:cs="Times New Roman"/>
        </w:rPr>
        <w:t>eological</w:t>
      </w:r>
      <w:r w:rsidR="004B6D01">
        <w:rPr>
          <w:rFonts w:hAnsi="Times New Roman" w:cs="Times New Roman"/>
        </w:rPr>
        <w:t xml:space="preserve"> and scientific</w:t>
      </w:r>
      <w:r w:rsidR="00F74560">
        <w:rPr>
          <w:rFonts w:hAnsi="Times New Roman" w:cs="Times New Roman"/>
        </w:rPr>
        <w:t xml:space="preserve"> (technical)</w:t>
      </w:r>
      <w:r w:rsidR="005752FA">
        <w:rPr>
          <w:rFonts w:hAnsi="Times New Roman" w:cs="Times New Roman"/>
        </w:rPr>
        <w:t xml:space="preserve"> significance to the State of Victoria. The following is taken from the Statement of </w:t>
      </w:r>
      <w:r w:rsidR="00DF5306">
        <w:rPr>
          <w:rFonts w:hAnsi="Times New Roman" w:cs="Times New Roman"/>
        </w:rPr>
        <w:t xml:space="preserve">Cultural Heritage </w:t>
      </w:r>
      <w:r w:rsidR="005752FA">
        <w:rPr>
          <w:rFonts w:hAnsi="Times New Roman" w:cs="Times New Roman"/>
        </w:rPr>
        <w:t>Significance</w:t>
      </w:r>
      <w:r w:rsidR="00DF5306">
        <w:rPr>
          <w:rFonts w:hAnsi="Times New Roman" w:cs="Times New Roman"/>
        </w:rPr>
        <w:t xml:space="preserve"> (‘Statement of Significance’)</w:t>
      </w:r>
      <w:r w:rsidR="005752FA">
        <w:rPr>
          <w:rFonts w:hAnsi="Times New Roman" w:cs="Times New Roman"/>
        </w:rPr>
        <w:t xml:space="preserve"> for the Place:</w:t>
      </w:r>
      <w:r w:rsidR="00CC76B9">
        <w:rPr>
          <w:rFonts w:hAnsi="Times New Roman" w:cs="Times New Roman"/>
        </w:rPr>
        <w:t xml:space="preserve"> </w:t>
      </w:r>
    </w:p>
    <w:p w14:paraId="4D18942A" w14:textId="77777777" w:rsidR="00CC76B9" w:rsidRPr="00BA111A" w:rsidRDefault="00CC76B9" w:rsidP="008D30D4">
      <w:pPr>
        <w:pStyle w:val="Para1"/>
        <w:numPr>
          <w:ilvl w:val="0"/>
          <w:numId w:val="0"/>
        </w:numPr>
        <w:tabs>
          <w:tab w:val="clear" w:pos="567"/>
          <w:tab w:val="left" w:pos="426"/>
          <w:tab w:val="left" w:pos="709"/>
        </w:tabs>
        <w:ind w:firstLine="567"/>
        <w:rPr>
          <w:rFonts w:hAnsi="Times New Roman" w:cs="Times New Roman"/>
          <w:i/>
        </w:rPr>
      </w:pPr>
      <w:r w:rsidRPr="00BA111A">
        <w:rPr>
          <w:rFonts w:hAnsi="Times New Roman" w:cs="Times New Roman"/>
          <w:i/>
          <w:u w:val="single"/>
        </w:rPr>
        <w:t>Why is it significant</w:t>
      </w:r>
      <w:r w:rsidRPr="00BA111A">
        <w:rPr>
          <w:rFonts w:hAnsi="Times New Roman" w:cs="Times New Roman"/>
          <w:i/>
        </w:rPr>
        <w:t>?</w:t>
      </w:r>
    </w:p>
    <w:p w14:paraId="42F8F8D6" w14:textId="77777777" w:rsidR="00BA111A" w:rsidRPr="00BA111A" w:rsidRDefault="00BA111A" w:rsidP="00E43D0B">
      <w:pPr>
        <w:pStyle w:val="Para1"/>
        <w:numPr>
          <w:ilvl w:val="0"/>
          <w:numId w:val="0"/>
        </w:numPr>
        <w:ind w:left="567"/>
        <w:rPr>
          <w:rFonts w:hAnsi="Times New Roman" w:cs="Times New Roman"/>
          <w:i/>
        </w:rPr>
      </w:pPr>
      <w:r w:rsidRPr="00BA111A">
        <w:rPr>
          <w:rFonts w:hAnsi="Times New Roman" w:cs="Times New Roman"/>
          <w:i/>
        </w:rPr>
        <w:t>The Barrett Burston Richmond Maltings site is historically significant as the oldest surviving independent sale (as opposed to brewing) maltster site in Australia. It has been continuously associated with the brewing and malting industry since 1852. It is the earliest and most intact of the four remaining nineteenth century sale maltster site</w:t>
      </w:r>
      <w:r w:rsidR="000C68A7">
        <w:rPr>
          <w:rFonts w:hAnsi="Times New Roman" w:cs="Times New Roman"/>
          <w:i/>
        </w:rPr>
        <w:t>s</w:t>
      </w:r>
      <w:r w:rsidR="004C1C5D">
        <w:rPr>
          <w:rFonts w:hAnsi="Times New Roman" w:cs="Times New Roman"/>
          <w:i/>
        </w:rPr>
        <w:t xml:space="preserve"> </w:t>
      </w:r>
      <w:r w:rsidRPr="00BA111A">
        <w:rPr>
          <w:rFonts w:hAnsi="Times New Roman" w:cs="Times New Roman"/>
          <w:i/>
        </w:rPr>
        <w:t>still operating in Victoria, the others being the former James Hood &amp; Co site, Islington Street, Collingwood (1878), the Barrett Burston Gibdon Street site, Burnley (1892), and Joe White Maltings, Gregory Street site, Ballarat (1898).</w:t>
      </w:r>
    </w:p>
    <w:p w14:paraId="646EF199" w14:textId="77777777" w:rsidR="00BA111A" w:rsidRPr="00BA111A" w:rsidRDefault="00BA111A" w:rsidP="00E43D0B">
      <w:pPr>
        <w:pStyle w:val="Para1"/>
        <w:numPr>
          <w:ilvl w:val="0"/>
          <w:numId w:val="0"/>
        </w:numPr>
        <w:ind w:left="567"/>
        <w:rPr>
          <w:rFonts w:hAnsi="Times New Roman" w:cs="Times New Roman"/>
          <w:i/>
        </w:rPr>
      </w:pPr>
      <w:r w:rsidRPr="00BA111A">
        <w:rPr>
          <w:rFonts w:hAnsi="Times New Roman" w:cs="Times New Roman"/>
          <w:i/>
        </w:rPr>
        <w:t>The site is historically important for its strong associations with significant malting companies such as Smith, Mitchell &amp; Co, which developed and operated the site between 1912 and 1972, and Barrett Burston, one of the</w:t>
      </w:r>
      <w:r w:rsidR="000C68A7">
        <w:rPr>
          <w:rFonts w:hAnsi="Times New Roman" w:cs="Times New Roman"/>
          <w:i/>
        </w:rPr>
        <w:t xml:space="preserve"> </w:t>
      </w:r>
      <w:r w:rsidRPr="00BA111A">
        <w:rPr>
          <w:rFonts w:hAnsi="Times New Roman" w:cs="Times New Roman"/>
          <w:i/>
        </w:rPr>
        <w:t>largest malting companies in Australia. The site is of historical interest for its association with Charles Smith, who</w:t>
      </w:r>
      <w:r w:rsidR="000C68A7">
        <w:rPr>
          <w:rFonts w:hAnsi="Times New Roman" w:cs="Times New Roman"/>
          <w:i/>
        </w:rPr>
        <w:t xml:space="preserve"> </w:t>
      </w:r>
      <w:r w:rsidRPr="00BA111A">
        <w:rPr>
          <w:rFonts w:hAnsi="Times New Roman" w:cs="Times New Roman"/>
          <w:i/>
        </w:rPr>
        <w:t>was involved in the site until his death in 1903. Smith, one of the earliest sale maltsters in Victoria, was Mayor of Richmond 1873-74 and Lord Mayor for Melbourne 1883-84, and was a member of the Legislative Assembly.</w:t>
      </w:r>
    </w:p>
    <w:p w14:paraId="0F375BD8" w14:textId="77777777" w:rsidR="00C151D7" w:rsidRDefault="00BA111A" w:rsidP="00E43D0B">
      <w:pPr>
        <w:pStyle w:val="Para1"/>
        <w:numPr>
          <w:ilvl w:val="0"/>
          <w:numId w:val="0"/>
        </w:numPr>
        <w:ind w:left="567"/>
        <w:rPr>
          <w:rFonts w:hAnsi="Times New Roman" w:cs="Times New Roman"/>
          <w:i/>
        </w:rPr>
      </w:pPr>
      <w:r w:rsidRPr="00BA111A">
        <w:rPr>
          <w:rFonts w:hAnsi="Times New Roman" w:cs="Times New Roman"/>
          <w:i/>
        </w:rPr>
        <w:t>The Barrett Burston Richmond Maltings site is scientifically (technologically) significant for its pivotal role in understanding the industrial production of malt both by the pneumatic and the floor processes. The 1880 malt</w:t>
      </w:r>
      <w:r w:rsidR="000C68A7">
        <w:rPr>
          <w:rFonts w:hAnsi="Times New Roman" w:cs="Times New Roman"/>
          <w:i/>
        </w:rPr>
        <w:t xml:space="preserve"> </w:t>
      </w:r>
      <w:r w:rsidRPr="00BA111A">
        <w:rPr>
          <w:rFonts w:hAnsi="Times New Roman" w:cs="Times New Roman"/>
          <w:i/>
        </w:rPr>
        <w:t xml:space="preserve">house is the only nineteenth century pneumatic malt house surviving in Australia, and is of outstanding technological significance as one of the earliest pneumatic malt houses in the world. While the building was substantially re-modelled following fires in 1950 and again in 1965, the existing mechanised Saladin box process with two parallel germinating boxes and perforated floors is very similar to the original Galland box process described in the opening of the malt house in 1880. </w:t>
      </w:r>
    </w:p>
    <w:p w14:paraId="59CB181A" w14:textId="77777777" w:rsidR="00C151D7" w:rsidRDefault="00BA111A" w:rsidP="00E43D0B">
      <w:pPr>
        <w:pStyle w:val="Para1"/>
        <w:numPr>
          <w:ilvl w:val="0"/>
          <w:numId w:val="0"/>
        </w:numPr>
        <w:ind w:left="567"/>
        <w:rPr>
          <w:rFonts w:hAnsi="Times New Roman" w:cs="Times New Roman"/>
          <w:i/>
        </w:rPr>
      </w:pPr>
      <w:r w:rsidRPr="00BA111A">
        <w:rPr>
          <w:rFonts w:hAnsi="Times New Roman" w:cs="Times New Roman"/>
          <w:i/>
        </w:rPr>
        <w:t>The 1920 malt house, with its low floor to ceiling height of 9 feet, a large open concrete floor, with open storeroom above, and timber louvred windows set opposite each other in the side walls to control air flow, is</w:t>
      </w:r>
      <w:r w:rsidR="008E60F5">
        <w:rPr>
          <w:rFonts w:hAnsi="Times New Roman" w:cs="Times New Roman"/>
          <w:i/>
        </w:rPr>
        <w:t xml:space="preserve"> </w:t>
      </w:r>
      <w:r w:rsidRPr="00BA111A">
        <w:rPr>
          <w:rFonts w:hAnsi="Times New Roman" w:cs="Times New Roman"/>
          <w:i/>
        </w:rPr>
        <w:t>scientifically (technologically) important for its demonstration of many of the essential characteristics of a traditional floor maltings. While once relatively common in Victoria, with many having been demolished and others adapted to pneumatic malting systems from the 1930s onwards, or adapted to alternative uses, it now represents a very rare surviving example of its type.</w:t>
      </w:r>
      <w:r w:rsidR="00A22C88">
        <w:rPr>
          <w:rFonts w:hAnsi="Times New Roman" w:cs="Times New Roman"/>
          <w:i/>
        </w:rPr>
        <w:t xml:space="preserve"> </w:t>
      </w:r>
    </w:p>
    <w:p w14:paraId="5F6884D8" w14:textId="77777777" w:rsidR="00A22C88" w:rsidRDefault="00BA111A" w:rsidP="00E43D0B">
      <w:pPr>
        <w:pStyle w:val="Para1"/>
        <w:numPr>
          <w:ilvl w:val="0"/>
          <w:numId w:val="0"/>
        </w:numPr>
        <w:ind w:left="567"/>
        <w:rPr>
          <w:rFonts w:hAnsi="Times New Roman" w:cs="Times New Roman"/>
          <w:i/>
        </w:rPr>
      </w:pPr>
      <w:r w:rsidRPr="00A22C88">
        <w:rPr>
          <w:rFonts w:hAnsi="Times New Roman" w:cs="Times New Roman"/>
          <w:i/>
        </w:rPr>
        <w:t>The 1952 pneumatic drum malting building, originally built with six drums imported from the United Kingdom, later replaced by drums constructed in Victoria by Vickers Ruwolt Pty Ltd, demonstrates the earliest use of this malting technology on a sale maltster site in Victoria. The 1939-40</w:t>
      </w:r>
      <w:r w:rsidR="008E60F5">
        <w:rPr>
          <w:rFonts w:hAnsi="Times New Roman" w:cs="Times New Roman"/>
          <w:i/>
        </w:rPr>
        <w:t xml:space="preserve"> </w:t>
      </w:r>
      <w:r w:rsidRPr="00A22C88">
        <w:rPr>
          <w:rFonts w:hAnsi="Times New Roman" w:cs="Times New Roman"/>
          <w:i/>
        </w:rPr>
        <w:t>building for storing barley was supplemented in 1952 by 11 concreted silos, which represent an early surviving example of this form of barley storage system on a sale maltster site in Victoria with only the 1937 silos in Abinger Street Richmond (now converted to residential use) being older.</w:t>
      </w:r>
    </w:p>
    <w:p w14:paraId="47BD45C9" w14:textId="77777777" w:rsidR="00A22C88" w:rsidRDefault="00BA111A" w:rsidP="00E43D0B">
      <w:pPr>
        <w:pStyle w:val="Para1"/>
        <w:numPr>
          <w:ilvl w:val="0"/>
          <w:numId w:val="0"/>
        </w:numPr>
        <w:ind w:left="567"/>
        <w:rPr>
          <w:rFonts w:hAnsi="Times New Roman" w:cs="Times New Roman"/>
          <w:i/>
        </w:rPr>
      </w:pPr>
      <w:r w:rsidRPr="00A22C88">
        <w:rPr>
          <w:rFonts w:hAnsi="Times New Roman" w:cs="Times New Roman"/>
          <w:i/>
        </w:rPr>
        <w:t>The Barrett Burston Richmond Maltings site is aesthetically and socially significant as a substantial Melbourne landmark. This collection of four brick malt houses dating from 1880, 1920, late 1939s and 1942 together with the 1952 and 1960s concrete silos present a distinctive industrial aesthetic, which has formed a significant part of the townscape of Richmond, the adjoining River Yarra and South Yarra, for many years. Three of the malt houses retain distinctive external evidence of malt kilns, a feature found on only two other remaining malt houses in Victoria. The 1952 and 1960s concrete silos by reason of their height scale and bulk visually dominate the immediate townscape, and are also viewed over a wide distance in eastern Melbourne. Together with the Nylex sign, which sits atop the silos, they have become a significant cultural iconic feature in the Melbourne landscape and psyche and even feature in the song Leaps and Bounds by musician Paul Kelly.</w:t>
      </w:r>
    </w:p>
    <w:p w14:paraId="432AF867" w14:textId="77777777" w:rsidR="00CC76B9" w:rsidRPr="00A22C88" w:rsidRDefault="00BA111A" w:rsidP="00E43D0B">
      <w:pPr>
        <w:pStyle w:val="Para1"/>
        <w:numPr>
          <w:ilvl w:val="0"/>
          <w:numId w:val="0"/>
        </w:numPr>
        <w:ind w:left="567"/>
        <w:rPr>
          <w:rFonts w:hAnsi="Times New Roman" w:cs="Times New Roman"/>
          <w:i/>
        </w:rPr>
      </w:pPr>
      <w:r w:rsidRPr="00A22C88">
        <w:rPr>
          <w:rFonts w:hAnsi="Times New Roman" w:cs="Times New Roman"/>
          <w:i/>
        </w:rPr>
        <w:t>The Barrett Burston Richmond Maltings site is archaeologically significant not only for its visible remnants of the malt houses constructed in 1903 and 1928 but also for the potential archaeological remains of the brewing buildings of the 1852 Cremorne Brewery and 1860s malt house.</w:t>
      </w:r>
    </w:p>
    <w:p w14:paraId="62884CBA" w14:textId="77777777" w:rsidR="00981DE3" w:rsidRDefault="00981DE3" w:rsidP="00E43D0B">
      <w:pPr>
        <w:pStyle w:val="Para1"/>
        <w:numPr>
          <w:ilvl w:val="0"/>
          <w:numId w:val="8"/>
        </w:numPr>
        <w:spacing w:line="240" w:lineRule="auto"/>
        <w:ind w:left="567" w:hanging="567"/>
        <w:rPr>
          <w:rFonts w:hAnsi="Times New Roman" w:cs="Times New Roman"/>
        </w:rPr>
      </w:pPr>
      <w:r>
        <w:rPr>
          <w:rFonts w:hAnsi="Times New Roman" w:cs="Times New Roman"/>
        </w:rPr>
        <w:t xml:space="preserve">A separately registered heritage place </w:t>
      </w:r>
      <w:r w:rsidR="00D01B17">
        <w:rPr>
          <w:rFonts w:hAnsi="Times New Roman" w:cs="Times New Roman"/>
        </w:rPr>
        <w:t xml:space="preserve">(H2049) </w:t>
      </w:r>
      <w:r>
        <w:rPr>
          <w:rFonts w:hAnsi="Times New Roman" w:cs="Times New Roman"/>
        </w:rPr>
        <w:t xml:space="preserve">is located within the registered extent of the Place, </w:t>
      </w:r>
      <w:r w:rsidR="008E60F5">
        <w:rPr>
          <w:rFonts w:hAnsi="Times New Roman" w:cs="Times New Roman"/>
        </w:rPr>
        <w:t xml:space="preserve">being </w:t>
      </w:r>
      <w:r>
        <w:rPr>
          <w:rFonts w:hAnsi="Times New Roman" w:cs="Times New Roman"/>
        </w:rPr>
        <w:t>a sign located atop</w:t>
      </w:r>
      <w:r w:rsidR="00CD2B17">
        <w:rPr>
          <w:rFonts w:hAnsi="Times New Roman" w:cs="Times New Roman"/>
        </w:rPr>
        <w:t xml:space="preserve"> </w:t>
      </w:r>
      <w:r w:rsidR="008E60F5">
        <w:rPr>
          <w:rFonts w:hAnsi="Times New Roman" w:cs="Times New Roman"/>
        </w:rPr>
        <w:t>the 1960s</w:t>
      </w:r>
      <w:r w:rsidR="00A91354">
        <w:rPr>
          <w:rFonts w:hAnsi="Times New Roman" w:cs="Times New Roman"/>
        </w:rPr>
        <w:t xml:space="preserve"> concrete</w:t>
      </w:r>
      <w:r w:rsidR="008E60F5">
        <w:rPr>
          <w:rFonts w:hAnsi="Times New Roman" w:cs="Times New Roman"/>
        </w:rPr>
        <w:t xml:space="preserve"> silos</w:t>
      </w:r>
      <w:r w:rsidR="00C3765E">
        <w:rPr>
          <w:rFonts w:hAnsi="Times New Roman" w:cs="Times New Roman"/>
        </w:rPr>
        <w:t xml:space="preserve"> (</w:t>
      </w:r>
      <w:r w:rsidR="00A96E24">
        <w:rPr>
          <w:rFonts w:hAnsi="Times New Roman" w:cs="Times New Roman"/>
        </w:rPr>
        <w:t xml:space="preserve">referred to as </w:t>
      </w:r>
      <w:r w:rsidR="00C3765E">
        <w:rPr>
          <w:rFonts w:hAnsi="Times New Roman" w:cs="Times New Roman"/>
        </w:rPr>
        <w:t>building B9). It is comprised of</w:t>
      </w:r>
      <w:r>
        <w:rPr>
          <w:rFonts w:hAnsi="Times New Roman" w:cs="Times New Roman"/>
        </w:rPr>
        <w:t xml:space="preserve"> electric lights, a large digital clock display and </w:t>
      </w:r>
      <w:r w:rsidR="00A91354">
        <w:rPr>
          <w:rFonts w:hAnsi="Times New Roman" w:cs="Times New Roman"/>
        </w:rPr>
        <w:t>featur</w:t>
      </w:r>
      <w:r w:rsidR="00C3765E">
        <w:rPr>
          <w:rFonts w:hAnsi="Times New Roman" w:cs="Times New Roman"/>
        </w:rPr>
        <w:t>es</w:t>
      </w:r>
      <w:r w:rsidR="00A91354">
        <w:rPr>
          <w:rFonts w:hAnsi="Times New Roman" w:cs="Times New Roman"/>
        </w:rPr>
        <w:t xml:space="preserve"> </w:t>
      </w:r>
      <w:r>
        <w:rPr>
          <w:rFonts w:hAnsi="Times New Roman" w:cs="Times New Roman"/>
        </w:rPr>
        <w:t xml:space="preserve">the words ‘Nylex Plastics’ (‘the </w:t>
      </w:r>
      <w:r w:rsidR="004774D6">
        <w:rPr>
          <w:rFonts w:hAnsi="Times New Roman" w:cs="Times New Roman"/>
        </w:rPr>
        <w:t>Nylex Sign</w:t>
      </w:r>
      <w:r>
        <w:rPr>
          <w:rFonts w:hAnsi="Times New Roman" w:cs="Times New Roman"/>
        </w:rPr>
        <w:t xml:space="preserve">’). The following is taken from the Statement of Significance for </w:t>
      </w:r>
      <w:r w:rsidR="00A91354">
        <w:rPr>
          <w:rFonts w:hAnsi="Times New Roman" w:cs="Times New Roman"/>
        </w:rPr>
        <w:t xml:space="preserve">the </w:t>
      </w:r>
      <w:r w:rsidR="004774D6">
        <w:rPr>
          <w:rFonts w:hAnsi="Times New Roman" w:cs="Times New Roman"/>
        </w:rPr>
        <w:t>Nylex Sign</w:t>
      </w:r>
      <w:r>
        <w:rPr>
          <w:rFonts w:hAnsi="Times New Roman" w:cs="Times New Roman"/>
        </w:rPr>
        <w:t>:</w:t>
      </w:r>
    </w:p>
    <w:p w14:paraId="21F45616" w14:textId="77777777" w:rsidR="00BA111A" w:rsidRPr="00BA111A" w:rsidRDefault="00BA111A" w:rsidP="008D30D4">
      <w:pPr>
        <w:pStyle w:val="Para1"/>
        <w:numPr>
          <w:ilvl w:val="0"/>
          <w:numId w:val="0"/>
        </w:numPr>
        <w:tabs>
          <w:tab w:val="clear" w:pos="567"/>
          <w:tab w:val="left" w:pos="426"/>
        </w:tabs>
        <w:ind w:firstLine="567"/>
        <w:rPr>
          <w:rFonts w:hAnsi="Times New Roman" w:cs="Times New Roman"/>
          <w:i/>
          <w:u w:val="single"/>
        </w:rPr>
      </w:pPr>
      <w:r w:rsidRPr="00BA111A">
        <w:rPr>
          <w:rFonts w:hAnsi="Times New Roman" w:cs="Times New Roman"/>
          <w:i/>
          <w:u w:val="single"/>
        </w:rPr>
        <w:t>Why is it significant?</w:t>
      </w:r>
    </w:p>
    <w:p w14:paraId="35974DA7" w14:textId="77777777" w:rsidR="00BA111A" w:rsidRPr="00BA111A" w:rsidRDefault="00BA111A" w:rsidP="00EA5C0C">
      <w:pPr>
        <w:pStyle w:val="Para1"/>
        <w:numPr>
          <w:ilvl w:val="0"/>
          <w:numId w:val="0"/>
        </w:numPr>
        <w:tabs>
          <w:tab w:val="clear" w:pos="567"/>
        </w:tabs>
        <w:ind w:left="567"/>
        <w:rPr>
          <w:rFonts w:hAnsi="Times New Roman" w:cs="Times New Roman"/>
          <w:i/>
        </w:rPr>
      </w:pPr>
      <w:r w:rsidRPr="00BA111A">
        <w:rPr>
          <w:rFonts w:hAnsi="Times New Roman" w:cs="Times New Roman"/>
          <w:i/>
        </w:rPr>
        <w:t>The Nylex sky-sign is of historical significance as one of a collection of signs marking Victoria's industrial heritage in Richmond. Richmond has the greatest concentration of surviving sky-signs in the state. Of all the signs, which include the Skipping Girl, Victoria Bitter, Slade Knitwear and the Pelaco signs, the Nylex sign is the most prominent. These large sky-signs which used to be a prominent feature of the Melbourne skyline are increasing in rarity with the demolition of such notable signs such as Allen's at Southbank and Atlantic Ethyl and Shell Petroleum's rolling dice at St Kilda Junction. The Nylex sign is of further rarity as it the only major sky sign in Melbourne that uses such a range of lighting media.</w:t>
      </w:r>
      <w:r w:rsidR="008E60F5">
        <w:rPr>
          <w:rFonts w:hAnsi="Times New Roman" w:cs="Times New Roman"/>
          <w:i/>
        </w:rPr>
        <w:t xml:space="preserve"> </w:t>
      </w:r>
      <w:r w:rsidRPr="00BA111A">
        <w:rPr>
          <w:rFonts w:hAnsi="Times New Roman" w:cs="Times New Roman"/>
          <w:i/>
        </w:rPr>
        <w:t xml:space="preserve">These signs have strong associations with the industrial base of the former City of Richmond, important in the economy of Melbourne but which also contributed to the </w:t>
      </w:r>
      <w:r w:rsidR="00BD7E6B" w:rsidRPr="00BA111A">
        <w:rPr>
          <w:rFonts w:hAnsi="Times New Roman" w:cs="Times New Roman"/>
          <w:i/>
        </w:rPr>
        <w:t>wellbeing</w:t>
      </w:r>
      <w:r w:rsidRPr="00BA111A">
        <w:rPr>
          <w:rFonts w:hAnsi="Times New Roman" w:cs="Times New Roman"/>
          <w:i/>
        </w:rPr>
        <w:t xml:space="preserve"> of the national economy. Nylex, the largest plastics manufacturer in Australia, and the first to be established (1927), grew from premises below the sign in Cremorne Street.</w:t>
      </w:r>
    </w:p>
    <w:p w14:paraId="088ADA56" w14:textId="77777777" w:rsidR="00981DE3" w:rsidRPr="00981DE3" w:rsidRDefault="00BA111A" w:rsidP="00585D6C">
      <w:pPr>
        <w:pStyle w:val="Para1"/>
        <w:numPr>
          <w:ilvl w:val="0"/>
          <w:numId w:val="0"/>
        </w:numPr>
        <w:tabs>
          <w:tab w:val="clear" w:pos="567"/>
        </w:tabs>
        <w:ind w:left="567"/>
        <w:rPr>
          <w:rFonts w:hAnsi="Times New Roman" w:cs="Times New Roman"/>
        </w:rPr>
      </w:pPr>
      <w:r w:rsidRPr="00BA111A">
        <w:rPr>
          <w:rFonts w:hAnsi="Times New Roman" w:cs="Times New Roman"/>
          <w:i/>
        </w:rPr>
        <w:t>The Nylex sign is of social significance for its landmark qualities. The sign dominates the view along the major thoroughfares of Punt Road and Hoddle Streets and because of its location at the entrance to the South Eastern Freeway the Nylex sign is considered the unofficial gateway into Melbourne. The clock and temperature display is a constant point of reference for residents and motorists. This recognition factor has entered the sign as a part of popular culture and has given the sign an iconic quality. Its mention in the Paul Kelly song Leaps and Bounds has given the sign an identity that extends beyond Melbourne.</w:t>
      </w:r>
    </w:p>
    <w:p w14:paraId="51E6C07A" w14:textId="77777777" w:rsidR="0007387C" w:rsidRPr="00B61CC2" w:rsidRDefault="00FC7831" w:rsidP="00EA5C0C">
      <w:pPr>
        <w:pStyle w:val="Para1"/>
        <w:numPr>
          <w:ilvl w:val="0"/>
          <w:numId w:val="8"/>
        </w:numPr>
        <w:tabs>
          <w:tab w:val="clear" w:pos="567"/>
        </w:tabs>
        <w:spacing w:line="240" w:lineRule="auto"/>
        <w:ind w:left="567" w:hanging="567"/>
        <w:rPr>
          <w:rFonts w:hAnsi="Times New Roman" w:cs="Times New Roman"/>
        </w:rPr>
      </w:pPr>
      <w:r>
        <w:rPr>
          <w:rFonts w:hAnsi="Times New Roman" w:cs="Times New Roman"/>
        </w:rPr>
        <w:t xml:space="preserve">The </w:t>
      </w:r>
      <w:r w:rsidR="00164492">
        <w:rPr>
          <w:rFonts w:hAnsi="Times New Roman" w:cs="Times New Roman"/>
        </w:rPr>
        <w:t>Place</w:t>
      </w:r>
      <w:r>
        <w:rPr>
          <w:rFonts w:hAnsi="Times New Roman" w:cs="Times New Roman"/>
        </w:rPr>
        <w:t xml:space="preserve"> is also </w:t>
      </w:r>
      <w:r w:rsidR="00BF7FF4">
        <w:rPr>
          <w:rFonts w:hAnsi="Times New Roman" w:cs="Times New Roman"/>
        </w:rPr>
        <w:t>subject to a Heritage Overlay in the Yarra Planning Scheme, HO3</w:t>
      </w:r>
      <w:r w:rsidR="005956AB">
        <w:rPr>
          <w:rFonts w:hAnsi="Times New Roman" w:cs="Times New Roman"/>
        </w:rPr>
        <w:t xml:space="preserve">50, which applies to the </w:t>
      </w:r>
      <w:r w:rsidR="004774D6">
        <w:rPr>
          <w:rFonts w:hAnsi="Times New Roman" w:cs="Times New Roman"/>
        </w:rPr>
        <w:t>Nylex Sign</w:t>
      </w:r>
      <w:r w:rsidR="00372EA3">
        <w:rPr>
          <w:rFonts w:hAnsi="Times New Roman" w:cs="Times New Roman"/>
        </w:rPr>
        <w:t xml:space="preserve"> specifically</w:t>
      </w:r>
      <w:r w:rsidR="00BF7FF4">
        <w:rPr>
          <w:rFonts w:hAnsi="Times New Roman" w:cs="Times New Roman"/>
        </w:rPr>
        <w:t xml:space="preserve"> and</w:t>
      </w:r>
      <w:r w:rsidR="00EA3C83">
        <w:rPr>
          <w:rFonts w:hAnsi="Times New Roman" w:cs="Times New Roman"/>
        </w:rPr>
        <w:t xml:space="preserve"> to</w:t>
      </w:r>
      <w:r w:rsidR="00BF7FF4">
        <w:rPr>
          <w:rFonts w:hAnsi="Times New Roman" w:cs="Times New Roman"/>
        </w:rPr>
        <w:t xml:space="preserve"> the Place</w:t>
      </w:r>
      <w:r w:rsidR="007D7185">
        <w:rPr>
          <w:rFonts w:hAnsi="Times New Roman" w:cs="Times New Roman"/>
        </w:rPr>
        <w:t xml:space="preserve"> generally</w:t>
      </w:r>
      <w:r>
        <w:rPr>
          <w:rFonts w:hAnsi="Times New Roman" w:cs="Times New Roman"/>
        </w:rPr>
        <w:t>.</w:t>
      </w:r>
      <w:r w:rsidR="00D01B17">
        <w:rPr>
          <w:rFonts w:hAnsi="Times New Roman" w:cs="Times New Roman"/>
        </w:rPr>
        <w:t xml:space="preserve"> No permit is required under the Heritage Overlay as the Place </w:t>
      </w:r>
      <w:r w:rsidR="00333660">
        <w:rPr>
          <w:rFonts w:hAnsi="Times New Roman" w:cs="Times New Roman"/>
        </w:rPr>
        <w:t>as a whole and the sign are</w:t>
      </w:r>
      <w:r w:rsidR="00092E04">
        <w:rPr>
          <w:rFonts w:hAnsi="Times New Roman" w:cs="Times New Roman"/>
        </w:rPr>
        <w:t xml:space="preserve"> included i</w:t>
      </w:r>
      <w:r w:rsidR="00D01B17">
        <w:rPr>
          <w:rFonts w:hAnsi="Times New Roman" w:cs="Times New Roman"/>
        </w:rPr>
        <w:t>n the Register.</w:t>
      </w:r>
    </w:p>
    <w:p w14:paraId="1C72DABE" w14:textId="77777777" w:rsidR="0007387C" w:rsidRPr="00A37C71" w:rsidRDefault="0007387C" w:rsidP="003D41A9">
      <w:pPr>
        <w:pStyle w:val="Heading2"/>
        <w:tabs>
          <w:tab w:val="left" w:pos="426"/>
        </w:tabs>
        <w:spacing w:before="120"/>
        <w:rPr>
          <w:rFonts w:ascii="Times New Roman" w:hAnsi="Times New Roman" w:cs="Times New Roman"/>
          <w:b/>
          <w:sz w:val="24"/>
          <w:szCs w:val="24"/>
        </w:rPr>
      </w:pPr>
      <w:r w:rsidRPr="00A37C71">
        <w:rPr>
          <w:rFonts w:ascii="Times New Roman" w:hAnsi="Times New Roman" w:cs="Times New Roman"/>
          <w:b/>
          <w:sz w:val="24"/>
          <w:szCs w:val="24"/>
        </w:rPr>
        <w:t>Permit Application</w:t>
      </w:r>
    </w:p>
    <w:p w14:paraId="7D3E7D5E" w14:textId="77777777" w:rsidR="00A96E24" w:rsidRDefault="0077245D" w:rsidP="00EA5C0C">
      <w:pPr>
        <w:pStyle w:val="Para1"/>
        <w:numPr>
          <w:ilvl w:val="0"/>
          <w:numId w:val="8"/>
        </w:numPr>
        <w:tabs>
          <w:tab w:val="clear" w:pos="567"/>
        </w:tabs>
        <w:spacing w:line="240" w:lineRule="auto"/>
        <w:ind w:left="567" w:hanging="567"/>
        <w:rPr>
          <w:rFonts w:hAnsi="Times New Roman" w:cs="Times New Roman"/>
        </w:rPr>
      </w:pPr>
      <w:r>
        <w:rPr>
          <w:rFonts w:hAnsi="Times New Roman" w:cs="Times New Roman"/>
        </w:rPr>
        <w:t xml:space="preserve">On </w:t>
      </w:r>
      <w:r w:rsidR="00446F26">
        <w:rPr>
          <w:rFonts w:hAnsi="Times New Roman" w:cs="Times New Roman"/>
        </w:rPr>
        <w:t>4</w:t>
      </w:r>
      <w:r>
        <w:rPr>
          <w:rFonts w:hAnsi="Times New Roman" w:cs="Times New Roman"/>
        </w:rPr>
        <w:t xml:space="preserve"> June 2015</w:t>
      </w:r>
      <w:r w:rsidR="0007387C" w:rsidRPr="00B61CC2">
        <w:rPr>
          <w:rFonts w:hAnsi="Times New Roman" w:cs="Times New Roman"/>
        </w:rPr>
        <w:t xml:space="preserve"> </w:t>
      </w:r>
      <w:r w:rsidR="003231B1">
        <w:rPr>
          <w:rFonts w:hAnsi="Times New Roman" w:cs="Times New Roman"/>
        </w:rPr>
        <w:t>the Appellant</w:t>
      </w:r>
      <w:r w:rsidR="0007387C" w:rsidRPr="00B61CC2">
        <w:rPr>
          <w:rFonts w:hAnsi="Times New Roman" w:cs="Times New Roman"/>
        </w:rPr>
        <w:t xml:space="preserve"> applied to the Executive Director, H</w:t>
      </w:r>
      <w:r>
        <w:rPr>
          <w:rFonts w:hAnsi="Times New Roman" w:cs="Times New Roman"/>
        </w:rPr>
        <w:t>eritage Victoria for a permit</w:t>
      </w:r>
      <w:r w:rsidR="0007387C" w:rsidRPr="00B61CC2">
        <w:rPr>
          <w:rFonts w:hAnsi="Times New Roman" w:cs="Times New Roman"/>
        </w:rPr>
        <w:t xml:space="preserve"> </w:t>
      </w:r>
      <w:r>
        <w:rPr>
          <w:rFonts w:hAnsi="Times New Roman" w:cs="Times New Roman"/>
        </w:rPr>
        <w:t>for</w:t>
      </w:r>
      <w:r w:rsidR="0007387C" w:rsidRPr="00B61CC2">
        <w:rPr>
          <w:rFonts w:hAnsi="Times New Roman" w:cs="Times New Roman"/>
        </w:rPr>
        <w:t xml:space="preserve"> </w:t>
      </w:r>
      <w:r>
        <w:rPr>
          <w:rFonts w:hAnsi="Times New Roman" w:cs="Times New Roman"/>
        </w:rPr>
        <w:t xml:space="preserve">the </w:t>
      </w:r>
      <w:r w:rsidR="0007387C" w:rsidRPr="00B61CC2">
        <w:rPr>
          <w:rFonts w:hAnsi="Times New Roman" w:cs="Times New Roman"/>
        </w:rPr>
        <w:t>following</w:t>
      </w:r>
      <w:r w:rsidR="0007387C">
        <w:rPr>
          <w:rFonts w:hAnsi="Times New Roman" w:cs="Times New Roman"/>
        </w:rPr>
        <w:t xml:space="preserve"> </w:t>
      </w:r>
      <w:r w:rsidR="0007387C" w:rsidRPr="00B61CC2">
        <w:rPr>
          <w:rFonts w:hAnsi="Times New Roman" w:cs="Times New Roman"/>
        </w:rPr>
        <w:t>works</w:t>
      </w:r>
      <w:r>
        <w:rPr>
          <w:rFonts w:hAnsi="Times New Roman" w:cs="Times New Roman"/>
        </w:rPr>
        <w:t xml:space="preserve"> in the eastern part of the Place </w:t>
      </w:r>
      <w:r w:rsidR="003231B1">
        <w:rPr>
          <w:rFonts w:hAnsi="Times New Roman" w:cs="Times New Roman"/>
        </w:rPr>
        <w:t>(‘the Application’)</w:t>
      </w:r>
      <w:r w:rsidR="0007387C" w:rsidRPr="00B61CC2">
        <w:rPr>
          <w:rFonts w:hAnsi="Times New Roman" w:cs="Times New Roman"/>
        </w:rPr>
        <w:t>:</w:t>
      </w:r>
    </w:p>
    <w:p w14:paraId="615C70E3" w14:textId="77777777" w:rsidR="003231B1" w:rsidRDefault="00782031" w:rsidP="0099326D">
      <w:pPr>
        <w:pStyle w:val="Para1"/>
        <w:numPr>
          <w:ilvl w:val="0"/>
          <w:numId w:val="11"/>
        </w:numPr>
        <w:tabs>
          <w:tab w:val="clear" w:pos="567"/>
        </w:tabs>
        <w:spacing w:line="240" w:lineRule="auto"/>
        <w:rPr>
          <w:rFonts w:hAnsi="Times New Roman" w:cs="Times New Roman"/>
        </w:rPr>
      </w:pPr>
      <w:r>
        <w:rPr>
          <w:rFonts w:hAnsi="Times New Roman" w:cs="Times New Roman"/>
        </w:rPr>
        <w:t>T</w:t>
      </w:r>
      <w:r w:rsidR="00EA4E66">
        <w:rPr>
          <w:rFonts w:hAnsi="Times New Roman" w:cs="Times New Roman"/>
        </w:rPr>
        <w:t>he partial d</w:t>
      </w:r>
      <w:r w:rsidR="0086495A">
        <w:rPr>
          <w:rFonts w:hAnsi="Times New Roman" w:cs="Times New Roman"/>
        </w:rPr>
        <w:t>emolition of</w:t>
      </w:r>
      <w:r w:rsidR="00EA4E66">
        <w:rPr>
          <w:rFonts w:hAnsi="Times New Roman" w:cs="Times New Roman"/>
        </w:rPr>
        <w:t xml:space="preserve"> exi</w:t>
      </w:r>
      <w:r w:rsidR="0077245D">
        <w:rPr>
          <w:rFonts w:hAnsi="Times New Roman" w:cs="Times New Roman"/>
        </w:rPr>
        <w:t xml:space="preserve">sting buildings and elements </w:t>
      </w:r>
      <w:r w:rsidR="0053635B">
        <w:rPr>
          <w:rFonts w:hAnsi="Times New Roman" w:cs="Times New Roman"/>
        </w:rPr>
        <w:t xml:space="preserve">of </w:t>
      </w:r>
      <w:r w:rsidR="0077245D">
        <w:rPr>
          <w:rFonts w:hAnsi="Times New Roman" w:cs="Times New Roman"/>
        </w:rPr>
        <w:t xml:space="preserve">the Place, in particular </w:t>
      </w:r>
      <w:r w:rsidR="0053635B" w:rsidRPr="004F73C2">
        <w:rPr>
          <w:rFonts w:hAnsi="Times New Roman" w:cs="Times New Roman"/>
        </w:rPr>
        <w:t>most</w:t>
      </w:r>
      <w:r w:rsidR="0053635B">
        <w:rPr>
          <w:rFonts w:hAnsi="Times New Roman" w:cs="Times New Roman"/>
        </w:rPr>
        <w:t xml:space="preserve"> of the </w:t>
      </w:r>
      <w:r w:rsidR="00A96E24">
        <w:rPr>
          <w:rFonts w:hAnsi="Times New Roman" w:cs="Times New Roman"/>
        </w:rPr>
        <w:t xml:space="preserve">boundary </w:t>
      </w:r>
      <w:r w:rsidR="0053635B">
        <w:rPr>
          <w:rFonts w:hAnsi="Times New Roman" w:cs="Times New Roman"/>
        </w:rPr>
        <w:t xml:space="preserve">walls </w:t>
      </w:r>
      <w:r w:rsidR="004F73C2">
        <w:rPr>
          <w:rFonts w:hAnsi="Times New Roman" w:cs="Times New Roman"/>
        </w:rPr>
        <w:t>along</w:t>
      </w:r>
      <w:r w:rsidR="005239D6">
        <w:rPr>
          <w:rFonts w:hAnsi="Times New Roman" w:cs="Times New Roman"/>
        </w:rPr>
        <w:t xml:space="preserve"> the eastern part of the</w:t>
      </w:r>
      <w:r w:rsidR="004F73C2">
        <w:rPr>
          <w:rFonts w:hAnsi="Times New Roman" w:cs="Times New Roman"/>
        </w:rPr>
        <w:t xml:space="preserve"> Gough Street</w:t>
      </w:r>
      <w:r w:rsidR="0053635B">
        <w:rPr>
          <w:rFonts w:hAnsi="Times New Roman" w:cs="Times New Roman"/>
        </w:rPr>
        <w:t xml:space="preserve"> </w:t>
      </w:r>
      <w:r w:rsidR="005712DD">
        <w:rPr>
          <w:rFonts w:hAnsi="Times New Roman" w:cs="Times New Roman"/>
        </w:rPr>
        <w:t xml:space="preserve">abuttal </w:t>
      </w:r>
      <w:r w:rsidR="0053635B">
        <w:rPr>
          <w:rFonts w:hAnsi="Times New Roman" w:cs="Times New Roman"/>
        </w:rPr>
        <w:t xml:space="preserve">and </w:t>
      </w:r>
      <w:r w:rsidR="004F73C2">
        <w:rPr>
          <w:rFonts w:hAnsi="Times New Roman" w:cs="Times New Roman"/>
        </w:rPr>
        <w:t xml:space="preserve">along </w:t>
      </w:r>
      <w:r w:rsidR="005239D6">
        <w:rPr>
          <w:rFonts w:hAnsi="Times New Roman" w:cs="Times New Roman"/>
        </w:rPr>
        <w:t xml:space="preserve">the </w:t>
      </w:r>
      <w:r w:rsidR="0053635B">
        <w:rPr>
          <w:rFonts w:hAnsi="Times New Roman" w:cs="Times New Roman"/>
        </w:rPr>
        <w:t>Cremo</w:t>
      </w:r>
      <w:r w:rsidR="004F73C2">
        <w:rPr>
          <w:rFonts w:hAnsi="Times New Roman" w:cs="Times New Roman"/>
        </w:rPr>
        <w:t xml:space="preserve">rne Street </w:t>
      </w:r>
      <w:r w:rsidR="005239D6">
        <w:rPr>
          <w:rFonts w:hAnsi="Times New Roman" w:cs="Times New Roman"/>
        </w:rPr>
        <w:t xml:space="preserve">abuttal </w:t>
      </w:r>
      <w:r w:rsidR="0053635B">
        <w:rPr>
          <w:rFonts w:hAnsi="Times New Roman" w:cs="Times New Roman"/>
        </w:rPr>
        <w:t>(</w:t>
      </w:r>
      <w:r w:rsidR="00A96E24">
        <w:rPr>
          <w:rFonts w:hAnsi="Times New Roman" w:cs="Times New Roman"/>
        </w:rPr>
        <w:t xml:space="preserve">referred to as </w:t>
      </w:r>
      <w:r w:rsidR="00FB6375">
        <w:rPr>
          <w:rFonts w:hAnsi="Times New Roman" w:cs="Times New Roman"/>
        </w:rPr>
        <w:t xml:space="preserve">buildings </w:t>
      </w:r>
      <w:r w:rsidR="0077245D">
        <w:rPr>
          <w:rFonts w:hAnsi="Times New Roman" w:cs="Times New Roman"/>
        </w:rPr>
        <w:t>B1</w:t>
      </w:r>
      <w:r w:rsidR="002C4F6E">
        <w:rPr>
          <w:rFonts w:hAnsi="Times New Roman" w:cs="Times New Roman"/>
        </w:rPr>
        <w:t xml:space="preserve"> </w:t>
      </w:r>
      <w:r w:rsidR="00FB6375">
        <w:rPr>
          <w:rFonts w:hAnsi="Times New Roman" w:cs="Times New Roman"/>
        </w:rPr>
        <w:t>and</w:t>
      </w:r>
      <w:r w:rsidR="0077245D">
        <w:rPr>
          <w:rFonts w:hAnsi="Times New Roman" w:cs="Times New Roman"/>
        </w:rPr>
        <w:t xml:space="preserve"> B2</w:t>
      </w:r>
      <w:r w:rsidR="0053635B">
        <w:rPr>
          <w:rFonts w:hAnsi="Times New Roman" w:cs="Times New Roman"/>
        </w:rPr>
        <w:t>)</w:t>
      </w:r>
      <w:r w:rsidR="004F73C2">
        <w:rPr>
          <w:rFonts w:hAnsi="Times New Roman" w:cs="Times New Roman"/>
        </w:rPr>
        <w:t>;</w:t>
      </w:r>
      <w:r w:rsidR="0077245D">
        <w:rPr>
          <w:rFonts w:hAnsi="Times New Roman" w:cs="Times New Roman"/>
        </w:rPr>
        <w:t xml:space="preserve"> </w:t>
      </w:r>
      <w:r w:rsidR="0053635B">
        <w:rPr>
          <w:rFonts w:hAnsi="Times New Roman" w:cs="Times New Roman"/>
        </w:rPr>
        <w:t xml:space="preserve">all but the facade of </w:t>
      </w:r>
      <w:r w:rsidR="00A96E24">
        <w:rPr>
          <w:rFonts w:hAnsi="Times New Roman" w:cs="Times New Roman"/>
        </w:rPr>
        <w:t>a 1922 and later office building (</w:t>
      </w:r>
      <w:r w:rsidR="00FB6375">
        <w:rPr>
          <w:rFonts w:hAnsi="Times New Roman" w:cs="Times New Roman"/>
        </w:rPr>
        <w:t xml:space="preserve">building </w:t>
      </w:r>
      <w:r w:rsidR="0077245D">
        <w:rPr>
          <w:rFonts w:hAnsi="Times New Roman" w:cs="Times New Roman"/>
        </w:rPr>
        <w:t>B3</w:t>
      </w:r>
      <w:r w:rsidR="00A96E24">
        <w:rPr>
          <w:rFonts w:hAnsi="Times New Roman" w:cs="Times New Roman"/>
        </w:rPr>
        <w:t>)</w:t>
      </w:r>
      <w:r w:rsidR="004F73C2">
        <w:rPr>
          <w:rFonts w:hAnsi="Times New Roman" w:cs="Times New Roman"/>
        </w:rPr>
        <w:t>;</w:t>
      </w:r>
      <w:r w:rsidR="0077245D">
        <w:rPr>
          <w:rFonts w:hAnsi="Times New Roman" w:cs="Times New Roman"/>
        </w:rPr>
        <w:t xml:space="preserve"> and </w:t>
      </w:r>
      <w:r w:rsidR="0053635B">
        <w:rPr>
          <w:rFonts w:hAnsi="Times New Roman" w:cs="Times New Roman"/>
        </w:rPr>
        <w:t xml:space="preserve">the </w:t>
      </w:r>
      <w:r w:rsidR="00FB6375">
        <w:rPr>
          <w:rFonts w:hAnsi="Times New Roman" w:cs="Times New Roman"/>
        </w:rPr>
        <w:t xml:space="preserve">rear </w:t>
      </w:r>
      <w:r w:rsidR="0053635B">
        <w:rPr>
          <w:rFonts w:hAnsi="Times New Roman" w:cs="Times New Roman"/>
        </w:rPr>
        <w:t xml:space="preserve">part </w:t>
      </w:r>
      <w:r w:rsidR="00FB6375">
        <w:rPr>
          <w:rFonts w:hAnsi="Times New Roman" w:cs="Times New Roman"/>
        </w:rPr>
        <w:t xml:space="preserve">of </w:t>
      </w:r>
      <w:r w:rsidR="00A96E24">
        <w:rPr>
          <w:rFonts w:hAnsi="Times New Roman" w:cs="Times New Roman"/>
        </w:rPr>
        <w:t>a late 1930s malt house (</w:t>
      </w:r>
      <w:r w:rsidR="00FB6375">
        <w:rPr>
          <w:rFonts w:hAnsi="Times New Roman" w:cs="Times New Roman"/>
        </w:rPr>
        <w:t xml:space="preserve">building </w:t>
      </w:r>
      <w:r w:rsidR="0077245D">
        <w:rPr>
          <w:rFonts w:hAnsi="Times New Roman" w:cs="Times New Roman"/>
        </w:rPr>
        <w:t>B4</w:t>
      </w:r>
      <w:r w:rsidR="00A96E24">
        <w:rPr>
          <w:rFonts w:hAnsi="Times New Roman" w:cs="Times New Roman"/>
        </w:rPr>
        <w:t>)</w:t>
      </w:r>
      <w:r w:rsidR="0099326D">
        <w:rPr>
          <w:rFonts w:hAnsi="Times New Roman" w:cs="Times New Roman"/>
        </w:rPr>
        <w:t>.</w:t>
      </w:r>
    </w:p>
    <w:p w14:paraId="3263AA7A" w14:textId="16038635" w:rsidR="003231B1" w:rsidRDefault="007049E0" w:rsidP="0099326D">
      <w:pPr>
        <w:pStyle w:val="Para1"/>
        <w:numPr>
          <w:ilvl w:val="0"/>
          <w:numId w:val="11"/>
        </w:numPr>
        <w:tabs>
          <w:tab w:val="clear" w:pos="567"/>
        </w:tabs>
        <w:spacing w:after="60" w:line="240" w:lineRule="auto"/>
        <w:rPr>
          <w:rFonts w:hAnsi="Times New Roman" w:cs="Times New Roman"/>
        </w:rPr>
      </w:pPr>
      <w:r>
        <w:rPr>
          <w:rFonts w:hAnsi="Times New Roman" w:cs="Times New Roman"/>
        </w:rPr>
        <w:t>T</w:t>
      </w:r>
      <w:r w:rsidR="0077245D" w:rsidRPr="00775860">
        <w:rPr>
          <w:rFonts w:hAnsi="Times New Roman" w:cs="Times New Roman"/>
        </w:rPr>
        <w:t>he c</w:t>
      </w:r>
      <w:r w:rsidR="004B6D01" w:rsidRPr="00775860">
        <w:rPr>
          <w:rFonts w:hAnsi="Times New Roman" w:cs="Times New Roman"/>
        </w:rPr>
        <w:t xml:space="preserve">onstruction of </w:t>
      </w:r>
      <w:r w:rsidR="009D5924" w:rsidRPr="00775860">
        <w:rPr>
          <w:rFonts w:hAnsi="Times New Roman" w:cs="Times New Roman"/>
        </w:rPr>
        <w:t xml:space="preserve">new buildings of </w:t>
      </w:r>
      <w:r w:rsidR="0053635B" w:rsidRPr="00775860">
        <w:rPr>
          <w:rFonts w:hAnsi="Times New Roman" w:cs="Times New Roman"/>
        </w:rPr>
        <w:t>three</w:t>
      </w:r>
      <w:r w:rsidR="009D5924" w:rsidRPr="00775860">
        <w:rPr>
          <w:rFonts w:hAnsi="Times New Roman" w:cs="Times New Roman"/>
        </w:rPr>
        <w:t>, 1</w:t>
      </w:r>
      <w:r w:rsidR="004774D6" w:rsidRPr="00775860">
        <w:rPr>
          <w:rFonts w:hAnsi="Times New Roman" w:cs="Times New Roman"/>
        </w:rPr>
        <w:t>4</w:t>
      </w:r>
      <w:r w:rsidR="0077245D" w:rsidRPr="00775860">
        <w:rPr>
          <w:rFonts w:hAnsi="Times New Roman" w:cs="Times New Roman"/>
        </w:rPr>
        <w:t xml:space="preserve"> and </w:t>
      </w:r>
      <w:r w:rsidR="009D5924" w:rsidRPr="00775860">
        <w:rPr>
          <w:rFonts w:hAnsi="Times New Roman" w:cs="Times New Roman"/>
        </w:rPr>
        <w:t>1</w:t>
      </w:r>
      <w:r w:rsidR="004F73C2" w:rsidRPr="00775860">
        <w:rPr>
          <w:rFonts w:hAnsi="Times New Roman" w:cs="Times New Roman"/>
        </w:rPr>
        <w:t>8</w:t>
      </w:r>
      <w:r w:rsidR="00E8380A" w:rsidRPr="00775860">
        <w:rPr>
          <w:rFonts w:hAnsi="Times New Roman" w:cs="Times New Roman"/>
        </w:rPr>
        <w:t xml:space="preserve"> storeys</w:t>
      </w:r>
      <w:r w:rsidR="00C70532" w:rsidRPr="00775860">
        <w:rPr>
          <w:rFonts w:hAnsi="Times New Roman" w:cs="Times New Roman"/>
        </w:rPr>
        <w:t xml:space="preserve"> above</w:t>
      </w:r>
      <w:r w:rsidR="00C70532">
        <w:rPr>
          <w:rFonts w:hAnsi="Times New Roman" w:cs="Times New Roman"/>
        </w:rPr>
        <w:t xml:space="preserve"> ground level</w:t>
      </w:r>
      <w:r w:rsidR="00353E77">
        <w:rPr>
          <w:rFonts w:hAnsi="Times New Roman" w:cs="Times New Roman"/>
        </w:rPr>
        <w:t>.</w:t>
      </w:r>
    </w:p>
    <w:p w14:paraId="348FE762" w14:textId="77777777" w:rsidR="0077245D" w:rsidRDefault="0007387C" w:rsidP="00EA5C0C">
      <w:pPr>
        <w:pStyle w:val="Para1"/>
        <w:numPr>
          <w:ilvl w:val="0"/>
          <w:numId w:val="8"/>
        </w:numPr>
        <w:tabs>
          <w:tab w:val="clear" w:pos="567"/>
        </w:tabs>
        <w:spacing w:before="120" w:line="240" w:lineRule="auto"/>
        <w:ind w:left="567" w:hanging="567"/>
        <w:rPr>
          <w:rFonts w:hAnsi="Times New Roman" w:cs="Times New Roman"/>
        </w:rPr>
      </w:pPr>
      <w:r>
        <w:rPr>
          <w:rFonts w:hAnsi="Times New Roman" w:cs="Times New Roman"/>
        </w:rPr>
        <w:t xml:space="preserve">The </w:t>
      </w:r>
      <w:r w:rsidR="0064785A">
        <w:rPr>
          <w:rFonts w:hAnsi="Times New Roman" w:cs="Times New Roman"/>
        </w:rPr>
        <w:t>A</w:t>
      </w:r>
      <w:r>
        <w:rPr>
          <w:rFonts w:hAnsi="Times New Roman" w:cs="Times New Roman"/>
        </w:rPr>
        <w:t xml:space="preserve">pplication was advertised </w:t>
      </w:r>
      <w:r w:rsidR="003231B1">
        <w:rPr>
          <w:rFonts w:hAnsi="Times New Roman" w:cs="Times New Roman"/>
        </w:rPr>
        <w:t xml:space="preserve">in accordance with s68 of the </w:t>
      </w:r>
      <w:r w:rsidR="003231B1" w:rsidRPr="003231B1">
        <w:rPr>
          <w:rFonts w:hAnsi="Times New Roman" w:cs="Times New Roman"/>
          <w:i/>
        </w:rPr>
        <w:t>Heritage Act 1995</w:t>
      </w:r>
      <w:r w:rsidR="003231B1">
        <w:rPr>
          <w:rFonts w:hAnsi="Times New Roman" w:cs="Times New Roman"/>
        </w:rPr>
        <w:t xml:space="preserve"> (‘the Act’)</w:t>
      </w:r>
      <w:r w:rsidR="00280782">
        <w:rPr>
          <w:rFonts w:hAnsi="Times New Roman" w:cs="Times New Roman"/>
        </w:rPr>
        <w:t xml:space="preserve"> and </w:t>
      </w:r>
      <w:r w:rsidR="004B6D01">
        <w:rPr>
          <w:rFonts w:hAnsi="Times New Roman" w:cs="Times New Roman"/>
        </w:rPr>
        <w:t xml:space="preserve">submissions </w:t>
      </w:r>
      <w:r w:rsidR="00C127C3">
        <w:rPr>
          <w:rFonts w:hAnsi="Times New Roman" w:cs="Times New Roman"/>
        </w:rPr>
        <w:t xml:space="preserve">were received </w:t>
      </w:r>
      <w:r w:rsidR="00280782">
        <w:rPr>
          <w:rFonts w:hAnsi="Times New Roman" w:cs="Times New Roman"/>
        </w:rPr>
        <w:t xml:space="preserve">and considered by the Executive Director </w:t>
      </w:r>
      <w:r w:rsidR="00C127C3">
        <w:rPr>
          <w:rFonts w:hAnsi="Times New Roman" w:cs="Times New Roman"/>
        </w:rPr>
        <w:t>in accordance with s69 of the Act</w:t>
      </w:r>
      <w:r>
        <w:rPr>
          <w:rFonts w:hAnsi="Times New Roman" w:cs="Times New Roman"/>
        </w:rPr>
        <w:t>.</w:t>
      </w:r>
      <w:r w:rsidR="00C127C3">
        <w:rPr>
          <w:rFonts w:hAnsi="Times New Roman" w:cs="Times New Roman"/>
        </w:rPr>
        <w:t xml:space="preserve"> </w:t>
      </w:r>
      <w:r w:rsidR="00280782">
        <w:rPr>
          <w:rFonts w:hAnsi="Times New Roman" w:cs="Times New Roman"/>
        </w:rPr>
        <w:t>In objecting to the Application, s</w:t>
      </w:r>
      <w:r w:rsidR="00C127C3">
        <w:rPr>
          <w:rFonts w:hAnsi="Times New Roman" w:cs="Times New Roman"/>
        </w:rPr>
        <w:t>ome but not all of</w:t>
      </w:r>
      <w:r w:rsidR="00BC73BB">
        <w:rPr>
          <w:rFonts w:hAnsi="Times New Roman" w:cs="Times New Roman"/>
        </w:rPr>
        <w:t xml:space="preserve"> the submissions objected to works not relevant to this permit appeal</w:t>
      </w:r>
      <w:r w:rsidR="00C127C3">
        <w:rPr>
          <w:rFonts w:hAnsi="Times New Roman" w:cs="Times New Roman"/>
        </w:rPr>
        <w:t xml:space="preserve">. </w:t>
      </w:r>
      <w:r>
        <w:rPr>
          <w:rFonts w:hAnsi="Times New Roman" w:cs="Times New Roman"/>
        </w:rPr>
        <w:t xml:space="preserve"> </w:t>
      </w:r>
    </w:p>
    <w:p w14:paraId="0FAC6502" w14:textId="20405D72" w:rsidR="0007387C" w:rsidRPr="004A7514" w:rsidRDefault="00553C11" w:rsidP="00EA5C0C">
      <w:pPr>
        <w:pStyle w:val="Para1"/>
        <w:numPr>
          <w:ilvl w:val="0"/>
          <w:numId w:val="8"/>
        </w:numPr>
        <w:tabs>
          <w:tab w:val="clear" w:pos="567"/>
        </w:tabs>
        <w:spacing w:before="120" w:line="240" w:lineRule="auto"/>
        <w:ind w:left="567" w:hanging="567"/>
        <w:rPr>
          <w:rFonts w:hAnsi="Times New Roman" w:cs="Times New Roman"/>
        </w:rPr>
      </w:pPr>
      <w:r>
        <w:rPr>
          <w:rFonts w:hAnsi="Times New Roman" w:cs="Times New Roman"/>
        </w:rPr>
        <w:t>Material submitted by the Appellant identifies</w:t>
      </w:r>
      <w:r w:rsidR="0077245D">
        <w:rPr>
          <w:rFonts w:hAnsi="Times New Roman" w:cs="Times New Roman"/>
        </w:rPr>
        <w:t xml:space="preserve"> the proposed works as ‘Stage 1’ of a larger plan of </w:t>
      </w:r>
      <w:r w:rsidR="00353E77">
        <w:rPr>
          <w:rFonts w:hAnsi="Times New Roman" w:cs="Times New Roman"/>
        </w:rPr>
        <w:t xml:space="preserve">proposed </w:t>
      </w:r>
      <w:r w:rsidR="0077245D">
        <w:rPr>
          <w:rFonts w:hAnsi="Times New Roman" w:cs="Times New Roman"/>
        </w:rPr>
        <w:t xml:space="preserve">works </w:t>
      </w:r>
      <w:r w:rsidR="007D7185">
        <w:rPr>
          <w:rFonts w:hAnsi="Times New Roman" w:cs="Times New Roman"/>
        </w:rPr>
        <w:t xml:space="preserve">across the </w:t>
      </w:r>
      <w:r w:rsidR="0077245D">
        <w:rPr>
          <w:rFonts w:hAnsi="Times New Roman" w:cs="Times New Roman"/>
        </w:rPr>
        <w:t>Place</w:t>
      </w:r>
      <w:r w:rsidR="00DE6EC2">
        <w:rPr>
          <w:rFonts w:hAnsi="Times New Roman" w:cs="Times New Roman"/>
        </w:rPr>
        <w:t>,</w:t>
      </w:r>
      <w:r w:rsidR="0077245D">
        <w:rPr>
          <w:rFonts w:hAnsi="Times New Roman" w:cs="Times New Roman"/>
        </w:rPr>
        <w:t xml:space="preserve"> </w:t>
      </w:r>
      <w:r w:rsidR="005239D6">
        <w:rPr>
          <w:rFonts w:hAnsi="Times New Roman" w:cs="Times New Roman"/>
        </w:rPr>
        <w:t xml:space="preserve">which are </w:t>
      </w:r>
      <w:r w:rsidR="007049E0">
        <w:rPr>
          <w:rFonts w:hAnsi="Times New Roman" w:cs="Times New Roman"/>
        </w:rPr>
        <w:t xml:space="preserve">intended </w:t>
      </w:r>
      <w:r w:rsidR="005239D6">
        <w:rPr>
          <w:rFonts w:hAnsi="Times New Roman" w:cs="Times New Roman"/>
        </w:rPr>
        <w:t>to take place in tw</w:t>
      </w:r>
      <w:r w:rsidR="00C70532">
        <w:rPr>
          <w:rFonts w:hAnsi="Times New Roman" w:cs="Times New Roman"/>
        </w:rPr>
        <w:t>o further stages</w:t>
      </w:r>
      <w:r w:rsidR="00DE6EC2">
        <w:rPr>
          <w:rFonts w:hAnsi="Times New Roman" w:cs="Times New Roman"/>
        </w:rPr>
        <w:t>,</w:t>
      </w:r>
      <w:r w:rsidR="00C70532">
        <w:rPr>
          <w:rFonts w:hAnsi="Times New Roman" w:cs="Times New Roman"/>
        </w:rPr>
        <w:t xml:space="preserve"> </w:t>
      </w:r>
      <w:r w:rsidR="0077245D">
        <w:rPr>
          <w:rFonts w:hAnsi="Times New Roman" w:cs="Times New Roman"/>
        </w:rPr>
        <w:t xml:space="preserve">and this </w:t>
      </w:r>
      <w:r w:rsidR="00353E77">
        <w:rPr>
          <w:rFonts w:hAnsi="Times New Roman" w:cs="Times New Roman"/>
        </w:rPr>
        <w:t xml:space="preserve">decision </w:t>
      </w:r>
      <w:r w:rsidR="0077245D">
        <w:rPr>
          <w:rFonts w:hAnsi="Times New Roman" w:cs="Times New Roman"/>
        </w:rPr>
        <w:t xml:space="preserve">document at times </w:t>
      </w:r>
      <w:r w:rsidR="008A58ED">
        <w:rPr>
          <w:rFonts w:hAnsi="Times New Roman" w:cs="Times New Roman"/>
        </w:rPr>
        <w:t>refer</w:t>
      </w:r>
      <w:r w:rsidR="007D7185">
        <w:rPr>
          <w:rFonts w:hAnsi="Times New Roman" w:cs="Times New Roman"/>
        </w:rPr>
        <w:t xml:space="preserve">s </w:t>
      </w:r>
      <w:r w:rsidR="0077245D">
        <w:rPr>
          <w:rFonts w:hAnsi="Times New Roman" w:cs="Times New Roman"/>
        </w:rPr>
        <w:t xml:space="preserve">to the proposed works </w:t>
      </w:r>
      <w:r w:rsidR="00353E77">
        <w:rPr>
          <w:rFonts w:hAnsi="Times New Roman" w:cs="Times New Roman"/>
        </w:rPr>
        <w:t xml:space="preserve">as the </w:t>
      </w:r>
      <w:r w:rsidR="007D7185">
        <w:rPr>
          <w:rFonts w:hAnsi="Times New Roman" w:cs="Times New Roman"/>
        </w:rPr>
        <w:t>‘</w:t>
      </w:r>
      <w:r w:rsidR="00353E77">
        <w:rPr>
          <w:rFonts w:hAnsi="Times New Roman" w:cs="Times New Roman"/>
        </w:rPr>
        <w:t>Stage 1 works</w:t>
      </w:r>
      <w:r w:rsidR="007D7185">
        <w:rPr>
          <w:rFonts w:hAnsi="Times New Roman" w:cs="Times New Roman"/>
        </w:rPr>
        <w:t>’</w:t>
      </w:r>
      <w:r w:rsidR="00353E77">
        <w:rPr>
          <w:rFonts w:hAnsi="Times New Roman" w:cs="Times New Roman"/>
        </w:rPr>
        <w:t>.</w:t>
      </w:r>
    </w:p>
    <w:p w14:paraId="63ABBF5D" w14:textId="77777777" w:rsidR="0007387C" w:rsidRPr="00A37C71" w:rsidRDefault="0007387C" w:rsidP="003D41A9">
      <w:pPr>
        <w:pStyle w:val="Heading2"/>
        <w:tabs>
          <w:tab w:val="left" w:pos="426"/>
        </w:tabs>
        <w:spacing w:before="120"/>
        <w:rPr>
          <w:rFonts w:ascii="Times New Roman" w:hAnsi="Times New Roman" w:cs="Times New Roman"/>
          <w:b/>
          <w:sz w:val="24"/>
          <w:szCs w:val="24"/>
        </w:rPr>
      </w:pPr>
      <w:r w:rsidRPr="00A37C71">
        <w:rPr>
          <w:rFonts w:ascii="Times New Roman" w:hAnsi="Times New Roman" w:cs="Times New Roman"/>
          <w:b/>
          <w:sz w:val="24"/>
          <w:szCs w:val="24"/>
        </w:rPr>
        <w:t>Determin</w:t>
      </w:r>
      <w:r w:rsidR="0035599F">
        <w:rPr>
          <w:rFonts w:ascii="Times New Roman" w:hAnsi="Times New Roman" w:cs="Times New Roman"/>
          <w:b/>
          <w:sz w:val="24"/>
          <w:szCs w:val="24"/>
        </w:rPr>
        <w:t>ation of the Executive Director</w:t>
      </w:r>
    </w:p>
    <w:p w14:paraId="4ED9311F" w14:textId="77777777" w:rsidR="001E13B5" w:rsidRDefault="00702088" w:rsidP="00EA5C0C">
      <w:pPr>
        <w:pStyle w:val="Para1"/>
        <w:numPr>
          <w:ilvl w:val="0"/>
          <w:numId w:val="8"/>
        </w:numPr>
        <w:tabs>
          <w:tab w:val="clear" w:pos="567"/>
        </w:tabs>
        <w:spacing w:line="240" w:lineRule="auto"/>
        <w:ind w:left="567" w:hanging="567"/>
        <w:rPr>
          <w:rFonts w:hAnsi="Times New Roman" w:cs="Times New Roman"/>
        </w:rPr>
      </w:pPr>
      <w:r>
        <w:rPr>
          <w:rFonts w:hAnsi="Times New Roman" w:cs="Times New Roman"/>
        </w:rPr>
        <w:t>On 8 January 2016</w:t>
      </w:r>
      <w:r w:rsidR="0007387C" w:rsidRPr="007854DD">
        <w:rPr>
          <w:rFonts w:hAnsi="Times New Roman" w:cs="Times New Roman"/>
        </w:rPr>
        <w:t xml:space="preserve"> the Executive Director</w:t>
      </w:r>
      <w:r w:rsidR="006914B3" w:rsidRPr="007854DD">
        <w:rPr>
          <w:rFonts w:hAnsi="Times New Roman" w:cs="Times New Roman"/>
        </w:rPr>
        <w:t xml:space="preserve"> determined to</w:t>
      </w:r>
      <w:r w:rsidR="0007387C" w:rsidRPr="007854DD">
        <w:rPr>
          <w:rFonts w:hAnsi="Times New Roman" w:cs="Times New Roman"/>
        </w:rPr>
        <w:t xml:space="preserve"> </w:t>
      </w:r>
      <w:r w:rsidR="006914B3" w:rsidRPr="007854DD">
        <w:rPr>
          <w:rFonts w:hAnsi="Times New Roman" w:cs="Times New Roman"/>
        </w:rPr>
        <w:t>refuse</w:t>
      </w:r>
      <w:r w:rsidR="005F61A7">
        <w:rPr>
          <w:rFonts w:hAnsi="Times New Roman" w:cs="Times New Roman"/>
        </w:rPr>
        <w:t xml:space="preserve"> to issue</w:t>
      </w:r>
      <w:r w:rsidR="00FE54FC">
        <w:rPr>
          <w:rFonts w:hAnsi="Times New Roman" w:cs="Times New Roman"/>
        </w:rPr>
        <w:t xml:space="preserve"> a permit for the proposed works </w:t>
      </w:r>
      <w:r w:rsidR="003A7D6C">
        <w:rPr>
          <w:rFonts w:hAnsi="Times New Roman" w:cs="Times New Roman"/>
        </w:rPr>
        <w:t>(‘the</w:t>
      </w:r>
      <w:r w:rsidR="005F61A7">
        <w:rPr>
          <w:rFonts w:hAnsi="Times New Roman" w:cs="Times New Roman"/>
        </w:rPr>
        <w:t xml:space="preserve"> permit</w:t>
      </w:r>
      <w:r w:rsidR="003A7D6C">
        <w:rPr>
          <w:rFonts w:hAnsi="Times New Roman" w:cs="Times New Roman"/>
        </w:rPr>
        <w:t xml:space="preserve"> refusal</w:t>
      </w:r>
      <w:r w:rsidR="00C173DA">
        <w:rPr>
          <w:rFonts w:hAnsi="Times New Roman" w:cs="Times New Roman"/>
        </w:rPr>
        <w:t>’)</w:t>
      </w:r>
      <w:r w:rsidR="0007387C" w:rsidRPr="007854DD">
        <w:rPr>
          <w:rFonts w:hAnsi="Times New Roman" w:cs="Times New Roman"/>
        </w:rPr>
        <w:t xml:space="preserve">. </w:t>
      </w:r>
    </w:p>
    <w:p w14:paraId="7D3E4009" w14:textId="77777777" w:rsidR="00B214A2" w:rsidRDefault="00B214A2" w:rsidP="00EA5C0C">
      <w:pPr>
        <w:pStyle w:val="Para1"/>
        <w:numPr>
          <w:ilvl w:val="0"/>
          <w:numId w:val="8"/>
        </w:numPr>
        <w:tabs>
          <w:tab w:val="clear" w:pos="567"/>
        </w:tabs>
        <w:spacing w:line="240" w:lineRule="auto"/>
        <w:ind w:left="567" w:hanging="567"/>
        <w:rPr>
          <w:rFonts w:hAnsi="Times New Roman" w:cs="Times New Roman"/>
        </w:rPr>
      </w:pPr>
      <w:r>
        <w:rPr>
          <w:rFonts w:hAnsi="Times New Roman" w:cs="Times New Roman"/>
        </w:rPr>
        <w:t xml:space="preserve">The </w:t>
      </w:r>
      <w:r w:rsidR="00D83F18">
        <w:rPr>
          <w:rFonts w:hAnsi="Times New Roman" w:cs="Times New Roman"/>
        </w:rPr>
        <w:t>grounds</w:t>
      </w:r>
      <w:r>
        <w:rPr>
          <w:rFonts w:hAnsi="Times New Roman" w:cs="Times New Roman"/>
        </w:rPr>
        <w:t xml:space="preserve"> given</w:t>
      </w:r>
      <w:r w:rsidR="00D83F18">
        <w:rPr>
          <w:rFonts w:hAnsi="Times New Roman" w:cs="Times New Roman"/>
        </w:rPr>
        <w:t xml:space="preserve"> by the Executive Director</w:t>
      </w:r>
      <w:r>
        <w:rPr>
          <w:rFonts w:hAnsi="Times New Roman" w:cs="Times New Roman"/>
        </w:rPr>
        <w:t xml:space="preserve"> for the</w:t>
      </w:r>
      <w:r w:rsidR="00EA4DFF">
        <w:rPr>
          <w:rFonts w:hAnsi="Times New Roman" w:cs="Times New Roman"/>
        </w:rPr>
        <w:t xml:space="preserve"> permit</w:t>
      </w:r>
      <w:r>
        <w:rPr>
          <w:rFonts w:hAnsi="Times New Roman" w:cs="Times New Roman"/>
        </w:rPr>
        <w:t xml:space="preserve"> refusal were:</w:t>
      </w:r>
    </w:p>
    <w:p w14:paraId="582B87F0" w14:textId="604DAF1C" w:rsidR="00B214A2" w:rsidRPr="00C70532" w:rsidRDefault="00C70532" w:rsidP="00885653">
      <w:pPr>
        <w:pStyle w:val="Para1"/>
        <w:numPr>
          <w:ilvl w:val="0"/>
          <w:numId w:val="0"/>
        </w:numPr>
        <w:tabs>
          <w:tab w:val="clear" w:pos="567"/>
          <w:tab w:val="left" w:pos="1276"/>
        </w:tabs>
        <w:spacing w:line="240" w:lineRule="auto"/>
        <w:ind w:left="1276" w:hanging="283"/>
        <w:rPr>
          <w:rFonts w:hAnsi="Times New Roman" w:cs="Times New Roman"/>
          <w:i/>
        </w:rPr>
      </w:pPr>
      <w:r w:rsidRPr="00C70532">
        <w:rPr>
          <w:rFonts w:hAnsi="Times New Roman" w:cs="Times New Roman"/>
          <w:i/>
        </w:rPr>
        <w:t>1.</w:t>
      </w:r>
      <w:r>
        <w:rPr>
          <w:rFonts w:hAnsi="Times New Roman" w:cs="Times New Roman"/>
        </w:rPr>
        <w:t xml:space="preserve"> </w:t>
      </w:r>
      <w:r w:rsidR="00B214A2" w:rsidRPr="00C70532">
        <w:rPr>
          <w:rFonts w:hAnsi="Times New Roman" w:cs="Times New Roman"/>
          <w:i/>
        </w:rPr>
        <w:t>Th</w:t>
      </w:r>
      <w:r w:rsidR="00D83F18" w:rsidRPr="00C70532">
        <w:rPr>
          <w:rFonts w:hAnsi="Times New Roman" w:cs="Times New Roman"/>
          <w:i/>
        </w:rPr>
        <w:t xml:space="preserve">e </w:t>
      </w:r>
      <w:r w:rsidR="0064785A" w:rsidRPr="00C70532">
        <w:rPr>
          <w:rFonts w:hAnsi="Times New Roman" w:cs="Times New Roman"/>
          <w:i/>
        </w:rPr>
        <w:t>application is for a high yield new development with very little positive heritage outcomes. There are only minor conservation works proposed to the remnants of walls (B1 and B2</w:t>
      </w:r>
      <w:r w:rsidR="004F73C2" w:rsidRPr="00C70532">
        <w:rPr>
          <w:rFonts w:hAnsi="Times New Roman" w:cs="Times New Roman"/>
          <w:i/>
        </w:rPr>
        <w:t xml:space="preserve"> </w:t>
      </w:r>
      <w:r w:rsidR="0064785A" w:rsidRPr="00C70532">
        <w:rPr>
          <w:rFonts w:hAnsi="Times New Roman" w:cs="Times New Roman"/>
          <w:i/>
        </w:rPr>
        <w:t>bein</w:t>
      </w:r>
      <w:r w:rsidR="006B6DEA" w:rsidRPr="00C70532">
        <w:rPr>
          <w:rFonts w:hAnsi="Times New Roman" w:cs="Times New Roman"/>
          <w:i/>
        </w:rPr>
        <w:t>g retained</w:t>
      </w:r>
      <w:r w:rsidR="00052BA5" w:rsidRPr="00C70532">
        <w:rPr>
          <w:rFonts w:hAnsi="Times New Roman" w:cs="Times New Roman"/>
          <w:i/>
        </w:rPr>
        <w:t>)</w:t>
      </w:r>
      <w:r w:rsidR="006B6DEA" w:rsidRPr="00C70532">
        <w:rPr>
          <w:rFonts w:hAnsi="Times New Roman" w:cs="Times New Roman"/>
          <w:i/>
        </w:rPr>
        <w:t xml:space="preserve"> on the subject site.</w:t>
      </w:r>
    </w:p>
    <w:p w14:paraId="190AE6F8" w14:textId="77777777" w:rsidR="00B214A2" w:rsidRPr="00C70532" w:rsidRDefault="00C70532" w:rsidP="00885653">
      <w:pPr>
        <w:pStyle w:val="Para1"/>
        <w:numPr>
          <w:ilvl w:val="0"/>
          <w:numId w:val="0"/>
        </w:numPr>
        <w:tabs>
          <w:tab w:val="clear" w:pos="567"/>
          <w:tab w:val="left" w:pos="1276"/>
        </w:tabs>
        <w:spacing w:line="240" w:lineRule="auto"/>
        <w:ind w:left="1276" w:hanging="283"/>
        <w:rPr>
          <w:rFonts w:hAnsi="Times New Roman" w:cs="Times New Roman"/>
          <w:i/>
        </w:rPr>
      </w:pPr>
      <w:r w:rsidRPr="00C70532">
        <w:rPr>
          <w:rFonts w:hAnsi="Times New Roman" w:cs="Times New Roman"/>
          <w:i/>
        </w:rPr>
        <w:t xml:space="preserve">2. </w:t>
      </w:r>
      <w:r w:rsidR="0064785A" w:rsidRPr="00C70532">
        <w:rPr>
          <w:rFonts w:hAnsi="Times New Roman" w:cs="Times New Roman"/>
          <w:i/>
        </w:rPr>
        <w:t>The proposed development scale, form and massing will dominate visually in contrast to the industrial heritage presentation of t</w:t>
      </w:r>
      <w:r w:rsidR="006B6DEA" w:rsidRPr="00C70532">
        <w:rPr>
          <w:rFonts w:hAnsi="Times New Roman" w:cs="Times New Roman"/>
          <w:i/>
        </w:rPr>
        <w:t>he significant place generally.</w:t>
      </w:r>
    </w:p>
    <w:p w14:paraId="524B7755" w14:textId="77777777" w:rsidR="00523B8B" w:rsidRPr="00C70532" w:rsidRDefault="00C70532" w:rsidP="00885653">
      <w:pPr>
        <w:pStyle w:val="Para1"/>
        <w:numPr>
          <w:ilvl w:val="0"/>
          <w:numId w:val="0"/>
        </w:numPr>
        <w:tabs>
          <w:tab w:val="clear" w:pos="567"/>
          <w:tab w:val="left" w:pos="1276"/>
        </w:tabs>
        <w:spacing w:line="240" w:lineRule="auto"/>
        <w:ind w:left="1276" w:hanging="283"/>
        <w:rPr>
          <w:rFonts w:hAnsi="Times New Roman" w:cs="Times New Roman"/>
          <w:i/>
        </w:rPr>
      </w:pPr>
      <w:r w:rsidRPr="00C70532">
        <w:rPr>
          <w:rFonts w:hAnsi="Times New Roman" w:cs="Times New Roman"/>
          <w:i/>
        </w:rPr>
        <w:t xml:space="preserve">3. </w:t>
      </w:r>
      <w:r w:rsidR="0078343A" w:rsidRPr="00C70532">
        <w:rPr>
          <w:rFonts w:hAnsi="Times New Roman" w:cs="Times New Roman"/>
          <w:i/>
        </w:rPr>
        <w:t xml:space="preserve">The proposed development </w:t>
      </w:r>
      <w:r w:rsidR="00523B8B" w:rsidRPr="00C70532">
        <w:rPr>
          <w:rFonts w:hAnsi="Times New Roman" w:cs="Times New Roman"/>
          <w:i/>
        </w:rPr>
        <w:t xml:space="preserve">is considered to be contrary to the Burra Charter </w:t>
      </w:r>
      <w:r w:rsidR="00FB6375" w:rsidRPr="00C70532">
        <w:rPr>
          <w:rFonts w:hAnsi="Times New Roman" w:cs="Times New Roman"/>
          <w:i/>
        </w:rPr>
        <w:t>A</w:t>
      </w:r>
      <w:r w:rsidR="00523B8B" w:rsidRPr="00C70532">
        <w:rPr>
          <w:rFonts w:hAnsi="Times New Roman" w:cs="Times New Roman"/>
          <w:i/>
        </w:rPr>
        <w:t>rticle 8 – Setting objectives. The overall height and form of the tower is considered to adversely affect the low scale industrial setting.</w:t>
      </w:r>
    </w:p>
    <w:p w14:paraId="342DDD68" w14:textId="77777777" w:rsidR="0035599F" w:rsidRPr="00C70532" w:rsidRDefault="00C70532" w:rsidP="00885653">
      <w:pPr>
        <w:pStyle w:val="Para1"/>
        <w:numPr>
          <w:ilvl w:val="0"/>
          <w:numId w:val="0"/>
        </w:numPr>
        <w:tabs>
          <w:tab w:val="clear" w:pos="567"/>
          <w:tab w:val="left" w:pos="1276"/>
        </w:tabs>
        <w:spacing w:line="240" w:lineRule="auto"/>
        <w:ind w:left="1276" w:hanging="283"/>
        <w:rPr>
          <w:rFonts w:hAnsi="Times New Roman" w:cs="Times New Roman"/>
          <w:i/>
        </w:rPr>
      </w:pPr>
      <w:r w:rsidRPr="00C70532">
        <w:rPr>
          <w:rFonts w:hAnsi="Times New Roman" w:cs="Times New Roman"/>
          <w:i/>
        </w:rPr>
        <w:t xml:space="preserve">4. </w:t>
      </w:r>
      <w:r w:rsidR="00AD4219" w:rsidRPr="00C70532">
        <w:rPr>
          <w:rFonts w:hAnsi="Times New Roman" w:cs="Times New Roman"/>
          <w:i/>
        </w:rPr>
        <w:t>The proposed development will have negative impacts on some significant views to the individually heritage listed Nylex sign.</w:t>
      </w:r>
    </w:p>
    <w:p w14:paraId="5E93BD57" w14:textId="77777777" w:rsidR="00782031" w:rsidRPr="007854DD" w:rsidRDefault="00782031" w:rsidP="00DB11EA">
      <w:pPr>
        <w:pStyle w:val="Para1"/>
        <w:numPr>
          <w:ilvl w:val="0"/>
          <w:numId w:val="0"/>
        </w:numPr>
        <w:tabs>
          <w:tab w:val="left" w:pos="426"/>
        </w:tabs>
        <w:spacing w:line="240" w:lineRule="auto"/>
        <w:rPr>
          <w:rFonts w:hAnsi="Times New Roman" w:cs="Times New Roman"/>
        </w:rPr>
      </w:pPr>
      <w:r>
        <w:rPr>
          <w:rFonts w:hAnsi="Times New Roman" w:cs="Times New Roman"/>
          <w:b/>
        </w:rPr>
        <w:t>The appeal against the permit refusal</w:t>
      </w:r>
    </w:p>
    <w:p w14:paraId="64D39549" w14:textId="77777777" w:rsidR="006C72AF" w:rsidRPr="007113DB" w:rsidRDefault="007113DB" w:rsidP="00160BBB">
      <w:pPr>
        <w:pStyle w:val="Para1"/>
        <w:numPr>
          <w:ilvl w:val="0"/>
          <w:numId w:val="8"/>
        </w:numPr>
        <w:spacing w:line="240" w:lineRule="auto"/>
        <w:ind w:left="567" w:hanging="567"/>
        <w:rPr>
          <w:rFonts w:hAnsi="Times New Roman" w:cs="Times New Roman"/>
        </w:rPr>
      </w:pPr>
      <w:r w:rsidRPr="00782031">
        <w:rPr>
          <w:rFonts w:hAnsi="Times New Roman" w:cs="Times New Roman"/>
        </w:rPr>
        <w:t>An appeal against the permit refusal was lodged with the Heritage Council by the Appellant on 19 January 2016 (‘the appeal’). Parties were notified that a hearing was to be conducted and a hearing was scheduled</w:t>
      </w:r>
      <w:r w:rsidR="00E34DAD">
        <w:rPr>
          <w:rFonts w:hAnsi="Times New Roman" w:cs="Times New Roman"/>
        </w:rPr>
        <w:t xml:space="preserve"> for 18 March 2016</w:t>
      </w:r>
      <w:r w:rsidR="00EA5C0C">
        <w:rPr>
          <w:rFonts w:hAnsi="Times New Roman" w:cs="Times New Roman"/>
        </w:rPr>
        <w:t>.</w:t>
      </w:r>
    </w:p>
    <w:p w14:paraId="2412F3D4" w14:textId="77777777" w:rsidR="006E211A" w:rsidRPr="006E211A" w:rsidRDefault="006E211A" w:rsidP="00160BBB">
      <w:pPr>
        <w:pStyle w:val="Para1"/>
        <w:numPr>
          <w:ilvl w:val="0"/>
          <w:numId w:val="0"/>
        </w:numPr>
        <w:tabs>
          <w:tab w:val="left" w:pos="426"/>
        </w:tabs>
        <w:spacing w:line="240" w:lineRule="auto"/>
        <w:rPr>
          <w:rFonts w:hAnsi="Times New Roman" w:cs="Times New Roman"/>
        </w:rPr>
      </w:pPr>
      <w:r w:rsidRPr="006E211A">
        <w:rPr>
          <w:rFonts w:hAnsi="Times New Roman" w:cs="Times New Roman"/>
          <w:b/>
        </w:rPr>
        <w:t>Site Inspection</w:t>
      </w:r>
      <w:r w:rsidR="00C70532">
        <w:rPr>
          <w:rFonts w:hAnsi="Times New Roman" w:cs="Times New Roman"/>
          <w:b/>
        </w:rPr>
        <w:t>s</w:t>
      </w:r>
    </w:p>
    <w:p w14:paraId="0620CB7C" w14:textId="77777777" w:rsidR="001603F8" w:rsidRDefault="004E689A" w:rsidP="00160BBB">
      <w:pPr>
        <w:pStyle w:val="Para1"/>
        <w:numPr>
          <w:ilvl w:val="0"/>
          <w:numId w:val="8"/>
        </w:numPr>
        <w:spacing w:line="240" w:lineRule="auto"/>
        <w:ind w:left="567" w:hanging="567"/>
        <w:rPr>
          <w:rFonts w:hAnsi="Times New Roman" w:cs="Times New Roman"/>
        </w:rPr>
      </w:pPr>
      <w:r>
        <w:rPr>
          <w:rFonts w:hAnsi="Times New Roman" w:cs="Times New Roman"/>
        </w:rPr>
        <w:t>M</w:t>
      </w:r>
      <w:r w:rsidR="0007387C" w:rsidRPr="006E211A">
        <w:rPr>
          <w:rFonts w:hAnsi="Times New Roman" w:cs="Times New Roman"/>
        </w:rPr>
        <w:t>embers of the Heritage Council Permit Appeals Committee (“the Committee”) conducted a site inspection of the Place on</w:t>
      </w:r>
      <w:r w:rsidR="008A3DF8">
        <w:rPr>
          <w:rFonts w:hAnsi="Times New Roman" w:cs="Times New Roman"/>
        </w:rPr>
        <w:t xml:space="preserve"> the morning of</w:t>
      </w:r>
      <w:r w:rsidR="0007387C" w:rsidRPr="006E211A">
        <w:rPr>
          <w:rFonts w:hAnsi="Times New Roman" w:cs="Times New Roman"/>
        </w:rPr>
        <w:t xml:space="preserve"> </w:t>
      </w:r>
      <w:r w:rsidR="008A3DF8">
        <w:rPr>
          <w:rFonts w:hAnsi="Times New Roman" w:cs="Times New Roman"/>
        </w:rPr>
        <w:t>Friday 17 June 2016</w:t>
      </w:r>
      <w:r w:rsidR="0007387C" w:rsidRPr="006E211A">
        <w:rPr>
          <w:rFonts w:hAnsi="Times New Roman" w:cs="Times New Roman"/>
        </w:rPr>
        <w:t>. The Committee was accompanied by</w:t>
      </w:r>
      <w:r w:rsidR="008A3DF8">
        <w:rPr>
          <w:rFonts w:hAnsi="Times New Roman" w:cs="Times New Roman"/>
        </w:rPr>
        <w:t xml:space="preserve"> representatives of all parties to the hearing and by</w:t>
      </w:r>
      <w:r w:rsidR="0007387C" w:rsidRPr="006E211A">
        <w:rPr>
          <w:rFonts w:hAnsi="Times New Roman" w:cs="Times New Roman"/>
        </w:rPr>
        <w:t xml:space="preserve"> the Heritage Council Hearings </w:t>
      </w:r>
      <w:r w:rsidR="00C173DA" w:rsidRPr="006E211A">
        <w:rPr>
          <w:rFonts w:hAnsi="Times New Roman" w:cs="Times New Roman"/>
        </w:rPr>
        <w:t>Coordinator</w:t>
      </w:r>
      <w:r w:rsidR="0007387C" w:rsidRPr="006E211A">
        <w:rPr>
          <w:rFonts w:hAnsi="Times New Roman" w:cs="Times New Roman"/>
        </w:rPr>
        <w:t>.</w:t>
      </w:r>
      <w:r w:rsidR="008A3DF8">
        <w:rPr>
          <w:rFonts w:hAnsi="Times New Roman" w:cs="Times New Roman"/>
        </w:rPr>
        <w:t xml:space="preserve"> The </w:t>
      </w:r>
      <w:r w:rsidR="00C70532">
        <w:rPr>
          <w:rFonts w:hAnsi="Times New Roman" w:cs="Times New Roman"/>
        </w:rPr>
        <w:t xml:space="preserve">accompanied </w:t>
      </w:r>
      <w:r w:rsidR="008A3DF8">
        <w:rPr>
          <w:rFonts w:hAnsi="Times New Roman" w:cs="Times New Roman"/>
        </w:rPr>
        <w:t xml:space="preserve">site inspection was </w:t>
      </w:r>
      <w:r w:rsidR="004F73C2">
        <w:rPr>
          <w:rFonts w:hAnsi="Times New Roman" w:cs="Times New Roman"/>
        </w:rPr>
        <w:t xml:space="preserve">arranged </w:t>
      </w:r>
      <w:r w:rsidR="008A3DF8">
        <w:rPr>
          <w:rFonts w:hAnsi="Times New Roman" w:cs="Times New Roman"/>
        </w:rPr>
        <w:t>by the Appellant</w:t>
      </w:r>
      <w:r w:rsidR="006C72AF">
        <w:rPr>
          <w:rFonts w:hAnsi="Times New Roman" w:cs="Times New Roman"/>
        </w:rPr>
        <w:t>, as requested by the Committee,</w:t>
      </w:r>
      <w:r w:rsidR="008A3DF8">
        <w:rPr>
          <w:rFonts w:hAnsi="Times New Roman" w:cs="Times New Roman"/>
        </w:rPr>
        <w:t xml:space="preserve"> and </w:t>
      </w:r>
      <w:r w:rsidR="006C72AF">
        <w:rPr>
          <w:rFonts w:hAnsi="Times New Roman" w:cs="Times New Roman"/>
        </w:rPr>
        <w:t xml:space="preserve">was </w:t>
      </w:r>
      <w:r w:rsidR="008A3DF8">
        <w:rPr>
          <w:rFonts w:hAnsi="Times New Roman" w:cs="Times New Roman"/>
        </w:rPr>
        <w:t>led</w:t>
      </w:r>
      <w:r w:rsidR="00F5159C">
        <w:rPr>
          <w:rFonts w:hAnsi="Times New Roman" w:cs="Times New Roman"/>
        </w:rPr>
        <w:t xml:space="preserve"> </w:t>
      </w:r>
      <w:r w:rsidR="008A3DF8">
        <w:rPr>
          <w:rFonts w:hAnsi="Times New Roman" w:cs="Times New Roman"/>
        </w:rPr>
        <w:t>by</w:t>
      </w:r>
      <w:r w:rsidR="006C72AF">
        <w:rPr>
          <w:rFonts w:hAnsi="Times New Roman" w:cs="Times New Roman"/>
        </w:rPr>
        <w:t xml:space="preserve"> the Appellant’s </w:t>
      </w:r>
      <w:r w:rsidR="00F23E7D">
        <w:rPr>
          <w:rFonts w:hAnsi="Times New Roman" w:cs="Times New Roman"/>
        </w:rPr>
        <w:t>expert witness</w:t>
      </w:r>
      <w:r w:rsidR="008A3DF8">
        <w:rPr>
          <w:rFonts w:hAnsi="Times New Roman" w:cs="Times New Roman"/>
        </w:rPr>
        <w:t xml:space="preserve"> Mr</w:t>
      </w:r>
      <w:r w:rsidR="001119BB">
        <w:rPr>
          <w:rFonts w:hAnsi="Times New Roman" w:cs="Times New Roman"/>
        </w:rPr>
        <w:t xml:space="preserve"> Peter</w:t>
      </w:r>
      <w:r w:rsidR="008A3DF8">
        <w:rPr>
          <w:rFonts w:hAnsi="Times New Roman" w:cs="Times New Roman"/>
        </w:rPr>
        <w:t xml:space="preserve"> Lovell.</w:t>
      </w:r>
      <w:r w:rsidR="0007387C" w:rsidRPr="006E211A">
        <w:rPr>
          <w:rFonts w:hAnsi="Times New Roman" w:cs="Times New Roman"/>
        </w:rPr>
        <w:t xml:space="preserve"> No submissions were sought or </w:t>
      </w:r>
      <w:r w:rsidR="004277FE" w:rsidRPr="006E211A">
        <w:rPr>
          <w:rFonts w:hAnsi="Times New Roman" w:cs="Times New Roman"/>
        </w:rPr>
        <w:t>received</w:t>
      </w:r>
      <w:r>
        <w:rPr>
          <w:rFonts w:hAnsi="Times New Roman" w:cs="Times New Roman"/>
        </w:rPr>
        <w:t xml:space="preserve"> at the</w:t>
      </w:r>
      <w:r w:rsidR="0007387C" w:rsidRPr="006E211A">
        <w:rPr>
          <w:rFonts w:hAnsi="Times New Roman" w:cs="Times New Roman"/>
        </w:rPr>
        <w:t xml:space="preserve"> time of the </w:t>
      </w:r>
      <w:r w:rsidR="006C72AF">
        <w:rPr>
          <w:rFonts w:hAnsi="Times New Roman" w:cs="Times New Roman"/>
        </w:rPr>
        <w:t xml:space="preserve">site </w:t>
      </w:r>
      <w:r w:rsidR="0007387C" w:rsidRPr="006E211A">
        <w:rPr>
          <w:rFonts w:hAnsi="Times New Roman" w:cs="Times New Roman"/>
        </w:rPr>
        <w:t xml:space="preserve">inspection. </w:t>
      </w:r>
    </w:p>
    <w:p w14:paraId="332B01C1" w14:textId="77777777" w:rsidR="00C70532" w:rsidRDefault="00C70532" w:rsidP="00160BBB">
      <w:pPr>
        <w:pStyle w:val="Para1"/>
        <w:numPr>
          <w:ilvl w:val="0"/>
          <w:numId w:val="8"/>
        </w:numPr>
        <w:spacing w:line="240" w:lineRule="auto"/>
        <w:ind w:left="567" w:hanging="567"/>
        <w:rPr>
          <w:rFonts w:hAnsi="Times New Roman" w:cs="Times New Roman"/>
        </w:rPr>
      </w:pPr>
      <w:r>
        <w:rPr>
          <w:rFonts w:hAnsi="Times New Roman" w:cs="Times New Roman"/>
        </w:rPr>
        <w:t>The Committee also made an unaccompanied inspection of the general locality on Monday 11 July 2016 to assist in an understanding</w:t>
      </w:r>
      <w:r w:rsidR="0081111F">
        <w:rPr>
          <w:rFonts w:hAnsi="Times New Roman" w:cs="Times New Roman"/>
        </w:rPr>
        <w:t xml:space="preserve"> of</w:t>
      </w:r>
      <w:r>
        <w:rPr>
          <w:rFonts w:hAnsi="Times New Roman" w:cs="Times New Roman"/>
        </w:rPr>
        <w:t xml:space="preserve"> the evidence and submissions concerning </w:t>
      </w:r>
      <w:r w:rsidR="0081111F">
        <w:rPr>
          <w:rFonts w:hAnsi="Times New Roman" w:cs="Times New Roman"/>
        </w:rPr>
        <w:t xml:space="preserve">effects </w:t>
      </w:r>
      <w:r>
        <w:rPr>
          <w:rFonts w:hAnsi="Times New Roman" w:cs="Times New Roman"/>
        </w:rPr>
        <w:t xml:space="preserve">on views. </w:t>
      </w:r>
    </w:p>
    <w:p w14:paraId="13EF1B50" w14:textId="77777777" w:rsidR="001603F8" w:rsidRPr="001603F8" w:rsidRDefault="00C8417E" w:rsidP="00DB11EA">
      <w:pPr>
        <w:pStyle w:val="Para1"/>
        <w:numPr>
          <w:ilvl w:val="0"/>
          <w:numId w:val="0"/>
        </w:numPr>
        <w:tabs>
          <w:tab w:val="left" w:pos="426"/>
        </w:tabs>
        <w:spacing w:line="240" w:lineRule="auto"/>
        <w:rPr>
          <w:rFonts w:hAnsi="Times New Roman" w:cs="Times New Roman"/>
          <w:b/>
        </w:rPr>
      </w:pPr>
      <w:r>
        <w:rPr>
          <w:rFonts w:hAnsi="Times New Roman" w:cs="Times New Roman"/>
          <w:b/>
        </w:rPr>
        <w:t>P</w:t>
      </w:r>
      <w:r w:rsidR="008E7CAC">
        <w:rPr>
          <w:rFonts w:hAnsi="Times New Roman" w:cs="Times New Roman"/>
          <w:b/>
        </w:rPr>
        <w:t xml:space="preserve">lanning </w:t>
      </w:r>
      <w:r>
        <w:rPr>
          <w:rFonts w:hAnsi="Times New Roman" w:cs="Times New Roman"/>
          <w:b/>
        </w:rPr>
        <w:t xml:space="preserve">and heritage </w:t>
      </w:r>
      <w:r w:rsidR="00AB2E2A">
        <w:rPr>
          <w:rFonts w:hAnsi="Times New Roman" w:cs="Times New Roman"/>
          <w:b/>
        </w:rPr>
        <w:t>proceedings relating to the land</w:t>
      </w:r>
      <w:r w:rsidR="005F7BF2">
        <w:rPr>
          <w:rFonts w:hAnsi="Times New Roman" w:cs="Times New Roman"/>
          <w:b/>
        </w:rPr>
        <w:t xml:space="preserve"> at 2 Gough Street</w:t>
      </w:r>
    </w:p>
    <w:p w14:paraId="56F78981" w14:textId="77777777" w:rsidR="00BA67C5" w:rsidRDefault="001603F8" w:rsidP="00160BBB">
      <w:pPr>
        <w:pStyle w:val="Para1"/>
        <w:numPr>
          <w:ilvl w:val="0"/>
          <w:numId w:val="8"/>
        </w:numPr>
        <w:spacing w:line="240" w:lineRule="auto"/>
        <w:ind w:left="567" w:hanging="567"/>
        <w:rPr>
          <w:rFonts w:hAnsi="Times New Roman" w:cs="Times New Roman"/>
        </w:rPr>
      </w:pPr>
      <w:r>
        <w:rPr>
          <w:rFonts w:hAnsi="Times New Roman" w:cs="Times New Roman"/>
        </w:rPr>
        <w:t>The Committee is aware that</w:t>
      </w:r>
      <w:r w:rsidR="00050F24">
        <w:rPr>
          <w:rFonts w:hAnsi="Times New Roman" w:cs="Times New Roman"/>
        </w:rPr>
        <w:t xml:space="preserve"> prior to, concurrent with and subsequent to this hearing process, </w:t>
      </w:r>
      <w:r w:rsidR="004F73C2">
        <w:rPr>
          <w:rFonts w:hAnsi="Times New Roman" w:cs="Times New Roman"/>
        </w:rPr>
        <w:t xml:space="preserve">there have been, are and will be </w:t>
      </w:r>
      <w:r w:rsidR="00050F24">
        <w:rPr>
          <w:rFonts w:hAnsi="Times New Roman" w:cs="Times New Roman"/>
        </w:rPr>
        <w:t xml:space="preserve">applications and proceedings relating to the Place in </w:t>
      </w:r>
      <w:r w:rsidR="00EC574C">
        <w:rPr>
          <w:rFonts w:hAnsi="Times New Roman" w:cs="Times New Roman"/>
        </w:rPr>
        <w:t>other</w:t>
      </w:r>
      <w:r w:rsidR="009E5CEA">
        <w:rPr>
          <w:rFonts w:hAnsi="Times New Roman" w:cs="Times New Roman"/>
        </w:rPr>
        <w:t xml:space="preserve"> </w:t>
      </w:r>
      <w:r w:rsidR="00050F24">
        <w:rPr>
          <w:rFonts w:hAnsi="Times New Roman" w:cs="Times New Roman"/>
        </w:rPr>
        <w:t xml:space="preserve">forums. </w:t>
      </w:r>
    </w:p>
    <w:p w14:paraId="7162F19A" w14:textId="77777777" w:rsidR="007B0144" w:rsidRDefault="005911FA" w:rsidP="008F6610">
      <w:pPr>
        <w:pStyle w:val="Para1"/>
        <w:numPr>
          <w:ilvl w:val="0"/>
          <w:numId w:val="8"/>
        </w:numPr>
        <w:spacing w:after="240" w:line="240" w:lineRule="auto"/>
        <w:ind w:left="567" w:hanging="567"/>
        <w:rPr>
          <w:rFonts w:hAnsi="Times New Roman" w:cs="Times New Roman"/>
        </w:rPr>
      </w:pPr>
      <w:r>
        <w:rPr>
          <w:rFonts w:hAnsi="Times New Roman" w:cs="Times New Roman"/>
        </w:rPr>
        <w:t>These</w:t>
      </w:r>
      <w:r w:rsidR="005804A8">
        <w:rPr>
          <w:rFonts w:hAnsi="Times New Roman" w:cs="Times New Roman"/>
        </w:rPr>
        <w:t xml:space="preserve"> </w:t>
      </w:r>
      <w:r w:rsidR="00050F24">
        <w:rPr>
          <w:rFonts w:hAnsi="Times New Roman" w:cs="Times New Roman"/>
        </w:rPr>
        <w:t>proceedings and applications</w:t>
      </w:r>
      <w:r w:rsidR="00052BA5">
        <w:rPr>
          <w:rFonts w:hAnsi="Times New Roman" w:cs="Times New Roman"/>
        </w:rPr>
        <w:t>, including procedural steps preceding this appeal,</w:t>
      </w:r>
      <w:r>
        <w:rPr>
          <w:rFonts w:hAnsi="Times New Roman" w:cs="Times New Roman"/>
        </w:rPr>
        <w:t xml:space="preserve"> </w:t>
      </w:r>
      <w:r w:rsidR="00887395">
        <w:rPr>
          <w:rFonts w:hAnsi="Times New Roman" w:cs="Times New Roman"/>
        </w:rPr>
        <w:t>include those</w:t>
      </w:r>
      <w:r>
        <w:rPr>
          <w:rFonts w:hAnsi="Times New Roman" w:cs="Times New Roman"/>
        </w:rPr>
        <w:t xml:space="preserve"> </w:t>
      </w:r>
      <w:r w:rsidR="00887395">
        <w:rPr>
          <w:rFonts w:hAnsi="Times New Roman" w:cs="Times New Roman"/>
        </w:rPr>
        <w:t>summarised</w:t>
      </w:r>
      <w:r>
        <w:rPr>
          <w:rFonts w:hAnsi="Times New Roman" w:cs="Times New Roman"/>
        </w:rPr>
        <w:t xml:space="preserve"> </w:t>
      </w:r>
      <w:r w:rsidR="00D202F1">
        <w:rPr>
          <w:rFonts w:hAnsi="Times New Roman" w:cs="Times New Roman"/>
        </w:rPr>
        <w:t>in the table below:</w:t>
      </w:r>
      <w:r w:rsidR="00050F24">
        <w:rPr>
          <w:rFonts w:hAnsi="Times New Roman" w:cs="Times New Roman"/>
        </w:rPr>
        <w:t xml:space="preserve"> </w:t>
      </w:r>
    </w:p>
    <w:tbl>
      <w:tblPr>
        <w:tblStyle w:val="TableGrid"/>
        <w:tblW w:w="0" w:type="auto"/>
        <w:tblInd w:w="567" w:type="dxa"/>
        <w:tblLook w:val="04A0" w:firstRow="1" w:lastRow="0" w:firstColumn="1" w:lastColumn="0" w:noHBand="0" w:noVBand="1"/>
      </w:tblPr>
      <w:tblGrid>
        <w:gridCol w:w="4361"/>
        <w:gridCol w:w="2693"/>
        <w:gridCol w:w="1615"/>
      </w:tblGrid>
      <w:tr w:rsidR="00D202F1" w:rsidRPr="00D202F1" w14:paraId="55A2D5F8" w14:textId="77777777" w:rsidTr="00F95D47">
        <w:tc>
          <w:tcPr>
            <w:tcW w:w="4361" w:type="dxa"/>
            <w:shd w:val="clear" w:color="auto" w:fill="F2F2F2" w:themeFill="background1" w:themeFillShade="F2"/>
          </w:tcPr>
          <w:p w14:paraId="7BDB95AE" w14:textId="77777777" w:rsidR="00D202F1" w:rsidRPr="00D202F1" w:rsidRDefault="00D52599" w:rsidP="00EF4EFB">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hAnsi="Times New Roman" w:cs="Times New Roman"/>
                <w:b/>
              </w:rPr>
            </w:pPr>
            <w:r>
              <w:rPr>
                <w:rFonts w:hAnsi="Times New Roman" w:cs="Times New Roman"/>
                <w:b/>
              </w:rPr>
              <w:t>Proceeding/Application/Decision</w:t>
            </w:r>
            <w:r w:rsidR="00EC574C">
              <w:rPr>
                <w:rFonts w:hAnsi="Times New Roman" w:cs="Times New Roman"/>
                <w:b/>
              </w:rPr>
              <w:t>/Order</w:t>
            </w:r>
          </w:p>
        </w:tc>
        <w:tc>
          <w:tcPr>
            <w:tcW w:w="2693" w:type="dxa"/>
            <w:shd w:val="clear" w:color="auto" w:fill="F2F2F2" w:themeFill="background1" w:themeFillShade="F2"/>
          </w:tcPr>
          <w:p w14:paraId="320A346A" w14:textId="77777777" w:rsidR="00D202F1" w:rsidRPr="00D202F1" w:rsidRDefault="00D52599" w:rsidP="00EF4EFB">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hAnsi="Times New Roman" w:cs="Times New Roman"/>
                <w:b/>
              </w:rPr>
            </w:pPr>
            <w:r>
              <w:rPr>
                <w:rFonts w:hAnsi="Times New Roman" w:cs="Times New Roman"/>
                <w:b/>
              </w:rPr>
              <w:t>Responsible Authority</w:t>
            </w:r>
          </w:p>
        </w:tc>
        <w:tc>
          <w:tcPr>
            <w:tcW w:w="1615" w:type="dxa"/>
            <w:shd w:val="clear" w:color="auto" w:fill="F2F2F2" w:themeFill="background1" w:themeFillShade="F2"/>
          </w:tcPr>
          <w:p w14:paraId="4C899841" w14:textId="77777777" w:rsidR="00D202F1" w:rsidRPr="00D202F1" w:rsidRDefault="00D202F1" w:rsidP="00EF4EFB">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hAnsi="Times New Roman" w:cs="Times New Roman"/>
                <w:b/>
              </w:rPr>
            </w:pPr>
            <w:r w:rsidRPr="00D202F1">
              <w:rPr>
                <w:rFonts w:hAnsi="Times New Roman" w:cs="Times New Roman"/>
                <w:b/>
              </w:rPr>
              <w:t>Date</w:t>
            </w:r>
          </w:p>
        </w:tc>
      </w:tr>
      <w:tr w:rsidR="00D81E90" w14:paraId="54E08981" w14:textId="77777777" w:rsidTr="00F95D47">
        <w:tc>
          <w:tcPr>
            <w:tcW w:w="4361" w:type="dxa"/>
          </w:tcPr>
          <w:p w14:paraId="62F77B8F" w14:textId="77777777" w:rsidR="00D81E90" w:rsidRDefault="00D81E90" w:rsidP="00492BA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Heri</w:t>
            </w:r>
            <w:r w:rsidR="00492BA4">
              <w:rPr>
                <w:rFonts w:hAnsi="Times New Roman" w:cs="Times New Roman"/>
                <w:sz w:val="22"/>
                <w:szCs w:val="22"/>
              </w:rPr>
              <w:t xml:space="preserve">tage Permits P11806 and P18839 </w:t>
            </w:r>
            <w:r>
              <w:rPr>
                <w:rFonts w:hAnsi="Times New Roman" w:cs="Times New Roman"/>
                <w:sz w:val="22"/>
                <w:szCs w:val="22"/>
              </w:rPr>
              <w:t>granted</w:t>
            </w:r>
            <w:r w:rsidR="00556BFA">
              <w:rPr>
                <w:rFonts w:hAnsi="Times New Roman" w:cs="Times New Roman"/>
                <w:sz w:val="22"/>
                <w:szCs w:val="22"/>
              </w:rPr>
              <w:t>,</w:t>
            </w:r>
            <w:r>
              <w:rPr>
                <w:rFonts w:hAnsi="Times New Roman" w:cs="Times New Roman"/>
                <w:sz w:val="22"/>
                <w:szCs w:val="22"/>
              </w:rPr>
              <w:t xml:space="preserve"> allowing the demolition of the B4 south outbuilding and the part</w:t>
            </w:r>
            <w:r w:rsidR="00BB4968">
              <w:rPr>
                <w:rFonts w:hAnsi="Times New Roman" w:cs="Times New Roman"/>
                <w:sz w:val="22"/>
                <w:szCs w:val="22"/>
              </w:rPr>
              <w:t>ial</w:t>
            </w:r>
            <w:r>
              <w:rPr>
                <w:rFonts w:hAnsi="Times New Roman" w:cs="Times New Roman"/>
                <w:sz w:val="22"/>
                <w:szCs w:val="22"/>
              </w:rPr>
              <w:t xml:space="preserve"> demolition of B3</w:t>
            </w:r>
          </w:p>
        </w:tc>
        <w:tc>
          <w:tcPr>
            <w:tcW w:w="2693" w:type="dxa"/>
          </w:tcPr>
          <w:p w14:paraId="4B4C0F70" w14:textId="77777777" w:rsidR="00D81E90" w:rsidRDefault="00D81E90"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Executive Director, Heritage Victoria</w:t>
            </w:r>
          </w:p>
        </w:tc>
        <w:tc>
          <w:tcPr>
            <w:tcW w:w="1615" w:type="dxa"/>
          </w:tcPr>
          <w:p w14:paraId="3FF92A82" w14:textId="77777777" w:rsidR="00D81E90" w:rsidRDefault="00D81E90"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29 June 2007, and 24 September 2012, respectively</w:t>
            </w:r>
          </w:p>
        </w:tc>
      </w:tr>
      <w:tr w:rsidR="000F42E8" w14:paraId="1B5F34CB" w14:textId="77777777" w:rsidTr="00F95D47">
        <w:tc>
          <w:tcPr>
            <w:tcW w:w="4361" w:type="dxa"/>
          </w:tcPr>
          <w:p w14:paraId="4507F041" w14:textId="77777777" w:rsidR="000F42E8" w:rsidRPr="00D52599" w:rsidRDefault="000F42E8"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Stage 1 works Planning Permit Application lodged</w:t>
            </w:r>
          </w:p>
        </w:tc>
        <w:tc>
          <w:tcPr>
            <w:tcW w:w="2693" w:type="dxa"/>
          </w:tcPr>
          <w:p w14:paraId="5C98D803" w14:textId="77777777" w:rsidR="000F42E8" w:rsidRPr="00D52599" w:rsidRDefault="000F42E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Yarra City Council</w:t>
            </w:r>
          </w:p>
        </w:tc>
        <w:tc>
          <w:tcPr>
            <w:tcW w:w="1615" w:type="dxa"/>
          </w:tcPr>
          <w:p w14:paraId="6EA3C23B" w14:textId="77777777" w:rsidR="000F42E8" w:rsidRPr="00D52599" w:rsidRDefault="000F42E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22 April 2015</w:t>
            </w:r>
          </w:p>
        </w:tc>
      </w:tr>
      <w:tr w:rsidR="00D202F1" w14:paraId="2F934531" w14:textId="77777777" w:rsidTr="00F95D47">
        <w:tc>
          <w:tcPr>
            <w:tcW w:w="4361" w:type="dxa"/>
          </w:tcPr>
          <w:p w14:paraId="2E78FDD4" w14:textId="77777777" w:rsidR="00D202F1" w:rsidRPr="00D52599" w:rsidRDefault="00D52599" w:rsidP="00BB4968">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 xml:space="preserve">Stage 1 </w:t>
            </w:r>
            <w:r w:rsidR="002F507E">
              <w:rPr>
                <w:rFonts w:hAnsi="Times New Roman" w:cs="Times New Roman"/>
                <w:sz w:val="22"/>
                <w:szCs w:val="22"/>
              </w:rPr>
              <w:t xml:space="preserve">works </w:t>
            </w:r>
            <w:r w:rsidRPr="00D52599">
              <w:rPr>
                <w:rFonts w:hAnsi="Times New Roman" w:cs="Times New Roman"/>
                <w:sz w:val="22"/>
                <w:szCs w:val="22"/>
              </w:rPr>
              <w:t>Heritage Permit Application</w:t>
            </w:r>
            <w:r w:rsidR="002F507E">
              <w:rPr>
                <w:rFonts w:hAnsi="Times New Roman" w:cs="Times New Roman"/>
                <w:sz w:val="22"/>
                <w:szCs w:val="22"/>
              </w:rPr>
              <w:t xml:space="preserve"> </w:t>
            </w:r>
            <w:r w:rsidR="00BB4968">
              <w:rPr>
                <w:rFonts w:hAnsi="Times New Roman" w:cs="Times New Roman"/>
                <w:sz w:val="22"/>
                <w:szCs w:val="22"/>
              </w:rPr>
              <w:t>lodged</w:t>
            </w:r>
          </w:p>
        </w:tc>
        <w:tc>
          <w:tcPr>
            <w:tcW w:w="2693" w:type="dxa"/>
          </w:tcPr>
          <w:p w14:paraId="72AE7CB0"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Executive Director, Heritage Victoria</w:t>
            </w:r>
          </w:p>
        </w:tc>
        <w:tc>
          <w:tcPr>
            <w:tcW w:w="1615" w:type="dxa"/>
          </w:tcPr>
          <w:p w14:paraId="2AF26180" w14:textId="77777777" w:rsidR="00D202F1" w:rsidRPr="00D52599" w:rsidRDefault="003559BD"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4</w:t>
            </w:r>
            <w:r w:rsidRPr="00D52599">
              <w:rPr>
                <w:rFonts w:hAnsi="Times New Roman" w:cs="Times New Roman"/>
                <w:sz w:val="22"/>
                <w:szCs w:val="22"/>
              </w:rPr>
              <w:t xml:space="preserve"> </w:t>
            </w:r>
            <w:r w:rsidR="00D52599" w:rsidRPr="00D52599">
              <w:rPr>
                <w:rFonts w:hAnsi="Times New Roman" w:cs="Times New Roman"/>
                <w:sz w:val="22"/>
                <w:szCs w:val="22"/>
              </w:rPr>
              <w:t>June 2015</w:t>
            </w:r>
          </w:p>
        </w:tc>
      </w:tr>
      <w:tr w:rsidR="00D202F1" w14:paraId="29943D24" w14:textId="77777777" w:rsidTr="00F95D47">
        <w:tc>
          <w:tcPr>
            <w:tcW w:w="4361" w:type="dxa"/>
          </w:tcPr>
          <w:p w14:paraId="3FD22C89" w14:textId="77777777" w:rsidR="00D202F1" w:rsidRPr="00D52599" w:rsidRDefault="00D52599"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 xml:space="preserve">Stage 1 </w:t>
            </w:r>
            <w:r w:rsidR="002F507E">
              <w:rPr>
                <w:rFonts w:hAnsi="Times New Roman" w:cs="Times New Roman"/>
                <w:sz w:val="22"/>
                <w:szCs w:val="22"/>
              </w:rPr>
              <w:t xml:space="preserve">works </w:t>
            </w:r>
            <w:r w:rsidRPr="00D52599">
              <w:rPr>
                <w:rFonts w:hAnsi="Times New Roman" w:cs="Times New Roman"/>
                <w:sz w:val="22"/>
                <w:szCs w:val="22"/>
              </w:rPr>
              <w:t>Heritage Permit Application advertised</w:t>
            </w:r>
          </w:p>
        </w:tc>
        <w:tc>
          <w:tcPr>
            <w:tcW w:w="2693" w:type="dxa"/>
          </w:tcPr>
          <w:p w14:paraId="7D036566"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Executive Director, Heritage Victoria</w:t>
            </w:r>
          </w:p>
        </w:tc>
        <w:tc>
          <w:tcPr>
            <w:tcW w:w="1615" w:type="dxa"/>
          </w:tcPr>
          <w:p w14:paraId="0655EDE6"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D52599">
              <w:rPr>
                <w:rFonts w:hAnsi="Times New Roman" w:cs="Times New Roman"/>
                <w:sz w:val="22"/>
                <w:szCs w:val="22"/>
              </w:rPr>
              <w:t>8 July 2015</w:t>
            </w:r>
          </w:p>
        </w:tc>
      </w:tr>
      <w:tr w:rsidR="006131D1" w14:paraId="1CF1AB49" w14:textId="77777777" w:rsidTr="00F95D47">
        <w:tc>
          <w:tcPr>
            <w:tcW w:w="4361" w:type="dxa"/>
          </w:tcPr>
          <w:p w14:paraId="36FA447A" w14:textId="77777777" w:rsidR="006131D1" w:rsidRPr="00D52599" w:rsidRDefault="006131D1" w:rsidP="003559BD">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Lodgment of Application against Yarra C</w:t>
            </w:r>
            <w:r w:rsidR="003559BD">
              <w:rPr>
                <w:rFonts w:hAnsi="Times New Roman" w:cs="Times New Roman"/>
                <w:sz w:val="22"/>
                <w:szCs w:val="22"/>
              </w:rPr>
              <w:t xml:space="preserve">ity </w:t>
            </w:r>
            <w:r>
              <w:rPr>
                <w:rFonts w:hAnsi="Times New Roman" w:cs="Times New Roman"/>
                <w:sz w:val="22"/>
                <w:szCs w:val="22"/>
              </w:rPr>
              <w:t>C</w:t>
            </w:r>
            <w:r w:rsidR="003559BD">
              <w:rPr>
                <w:rFonts w:hAnsi="Times New Roman" w:cs="Times New Roman"/>
                <w:sz w:val="22"/>
                <w:szCs w:val="22"/>
              </w:rPr>
              <w:t>ouncil</w:t>
            </w:r>
            <w:r>
              <w:rPr>
                <w:rFonts w:hAnsi="Times New Roman" w:cs="Times New Roman"/>
                <w:sz w:val="22"/>
                <w:szCs w:val="22"/>
              </w:rPr>
              <w:t xml:space="preserve"> failure to </w:t>
            </w:r>
            <w:r w:rsidR="003559BD">
              <w:rPr>
                <w:rFonts w:hAnsi="Times New Roman" w:cs="Times New Roman"/>
                <w:sz w:val="22"/>
                <w:szCs w:val="22"/>
              </w:rPr>
              <w:t xml:space="preserve">make a decision on the </w:t>
            </w:r>
            <w:r>
              <w:rPr>
                <w:rFonts w:hAnsi="Times New Roman" w:cs="Times New Roman"/>
                <w:sz w:val="22"/>
                <w:szCs w:val="22"/>
              </w:rPr>
              <w:t>22 April 2015 Planning Permit Application</w:t>
            </w:r>
          </w:p>
        </w:tc>
        <w:tc>
          <w:tcPr>
            <w:tcW w:w="2693" w:type="dxa"/>
          </w:tcPr>
          <w:p w14:paraId="3A21D137" w14:textId="77777777" w:rsidR="006131D1" w:rsidRPr="007E152C" w:rsidRDefault="00BF181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lang w:eastAsia="en-AU"/>
              </w:rPr>
              <w:t>Victorian Civil and Administrative Tribunal</w:t>
            </w:r>
          </w:p>
        </w:tc>
        <w:tc>
          <w:tcPr>
            <w:tcW w:w="1615" w:type="dxa"/>
          </w:tcPr>
          <w:p w14:paraId="3E63FD1A" w14:textId="77777777" w:rsidR="006131D1" w:rsidRPr="00D52599" w:rsidRDefault="006131D1"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September 2015</w:t>
            </w:r>
          </w:p>
        </w:tc>
      </w:tr>
      <w:tr w:rsidR="000F42E8" w14:paraId="0B1897EE" w14:textId="77777777" w:rsidTr="00F95D47">
        <w:tc>
          <w:tcPr>
            <w:tcW w:w="4361" w:type="dxa"/>
          </w:tcPr>
          <w:p w14:paraId="7E44C504" w14:textId="77777777" w:rsidR="000F42E8" w:rsidRPr="000F42E8" w:rsidRDefault="000F42E8"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i/>
                <w:sz w:val="22"/>
                <w:szCs w:val="22"/>
              </w:rPr>
            </w:pPr>
            <w:r>
              <w:rPr>
                <w:rFonts w:hAnsi="Times New Roman" w:cs="Times New Roman"/>
                <w:sz w:val="22"/>
                <w:szCs w:val="22"/>
              </w:rPr>
              <w:t>Consideration of Stage 1 works proposal</w:t>
            </w:r>
          </w:p>
        </w:tc>
        <w:tc>
          <w:tcPr>
            <w:tcW w:w="2693" w:type="dxa"/>
          </w:tcPr>
          <w:p w14:paraId="2F471ED1" w14:textId="77777777" w:rsidR="000F42E8" w:rsidRPr="007E152C" w:rsidRDefault="000F42E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Yarra City Council</w:t>
            </w:r>
          </w:p>
        </w:tc>
        <w:tc>
          <w:tcPr>
            <w:tcW w:w="1615" w:type="dxa"/>
          </w:tcPr>
          <w:p w14:paraId="56761536" w14:textId="77777777" w:rsidR="000F42E8" w:rsidRDefault="000F42E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27 October 2015</w:t>
            </w:r>
          </w:p>
        </w:tc>
      </w:tr>
      <w:tr w:rsidR="006131D1" w14:paraId="774E5D27" w14:textId="77777777" w:rsidTr="00F95D47">
        <w:tc>
          <w:tcPr>
            <w:tcW w:w="4361" w:type="dxa"/>
          </w:tcPr>
          <w:p w14:paraId="49893ABC" w14:textId="77777777" w:rsidR="006131D1" w:rsidRDefault="006131D1"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Stage 2 works Planning Permit Application</w:t>
            </w:r>
            <w:r w:rsidR="00BF1818">
              <w:rPr>
                <w:rFonts w:hAnsi="Times New Roman" w:cs="Times New Roman"/>
                <w:sz w:val="22"/>
                <w:szCs w:val="22"/>
              </w:rPr>
              <w:t xml:space="preserve"> lodged</w:t>
            </w:r>
          </w:p>
        </w:tc>
        <w:tc>
          <w:tcPr>
            <w:tcW w:w="2693" w:type="dxa"/>
          </w:tcPr>
          <w:p w14:paraId="309F1DC2" w14:textId="77777777" w:rsidR="006131D1" w:rsidRPr="007E152C" w:rsidRDefault="006131D1"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Yarra City Council</w:t>
            </w:r>
          </w:p>
        </w:tc>
        <w:tc>
          <w:tcPr>
            <w:tcW w:w="1615" w:type="dxa"/>
          </w:tcPr>
          <w:p w14:paraId="63455EAF" w14:textId="77777777" w:rsidR="006131D1" w:rsidRDefault="006131D1"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25 November 2015</w:t>
            </w:r>
          </w:p>
        </w:tc>
      </w:tr>
      <w:tr w:rsidR="00D202F1" w14:paraId="1A828924" w14:textId="77777777" w:rsidTr="00F95D47">
        <w:tc>
          <w:tcPr>
            <w:tcW w:w="4361" w:type="dxa"/>
          </w:tcPr>
          <w:p w14:paraId="14588B7F" w14:textId="77777777" w:rsidR="00D202F1" w:rsidRPr="00D52599" w:rsidRDefault="00EC574C" w:rsidP="002F507E">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Decision - Refusal</w:t>
            </w:r>
            <w:r w:rsidR="00D52599" w:rsidRPr="00D52599">
              <w:rPr>
                <w:rFonts w:hAnsi="Times New Roman" w:cs="Times New Roman"/>
                <w:sz w:val="22"/>
                <w:szCs w:val="22"/>
              </w:rPr>
              <w:t xml:space="preserve"> </w:t>
            </w:r>
            <w:r>
              <w:rPr>
                <w:rFonts w:hAnsi="Times New Roman" w:cs="Times New Roman"/>
                <w:sz w:val="22"/>
                <w:szCs w:val="22"/>
              </w:rPr>
              <w:t>to issue</w:t>
            </w:r>
            <w:r w:rsidR="00D52599">
              <w:rPr>
                <w:rFonts w:hAnsi="Times New Roman" w:cs="Times New Roman"/>
                <w:sz w:val="22"/>
                <w:szCs w:val="22"/>
              </w:rPr>
              <w:t xml:space="preserve"> Heritage Permit</w:t>
            </w:r>
            <w:r w:rsidR="002F507E">
              <w:rPr>
                <w:rFonts w:hAnsi="Times New Roman" w:cs="Times New Roman"/>
                <w:sz w:val="22"/>
                <w:szCs w:val="22"/>
              </w:rPr>
              <w:t xml:space="preserve"> for Stage 1 works</w:t>
            </w:r>
          </w:p>
        </w:tc>
        <w:tc>
          <w:tcPr>
            <w:tcW w:w="2693" w:type="dxa"/>
          </w:tcPr>
          <w:p w14:paraId="23EC3106" w14:textId="77777777" w:rsidR="00D202F1" w:rsidRPr="007E152C"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Executive Director, Heritage Victoria</w:t>
            </w:r>
          </w:p>
        </w:tc>
        <w:tc>
          <w:tcPr>
            <w:tcW w:w="1615" w:type="dxa"/>
          </w:tcPr>
          <w:p w14:paraId="37217B43"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8 January 2016</w:t>
            </w:r>
          </w:p>
        </w:tc>
      </w:tr>
      <w:tr w:rsidR="00767FC3" w14:paraId="22B53DCF" w14:textId="77777777" w:rsidTr="00F95D47">
        <w:tc>
          <w:tcPr>
            <w:tcW w:w="4361" w:type="dxa"/>
          </w:tcPr>
          <w:p w14:paraId="1CD3EEB7" w14:textId="77777777" w:rsidR="00767FC3" w:rsidRDefault="00767FC3" w:rsidP="0018640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Appeal against refusal to issue Heritage Permit for Stage 1 </w:t>
            </w:r>
            <w:r w:rsidR="00186404">
              <w:rPr>
                <w:rFonts w:hAnsi="Times New Roman" w:cs="Times New Roman"/>
                <w:sz w:val="22"/>
                <w:szCs w:val="22"/>
              </w:rPr>
              <w:t>lodged</w:t>
            </w:r>
            <w:r w:rsidR="007A7383">
              <w:rPr>
                <w:rFonts w:hAnsi="Times New Roman" w:cs="Times New Roman"/>
                <w:sz w:val="22"/>
                <w:szCs w:val="22"/>
              </w:rPr>
              <w:t xml:space="preserve"> (</w:t>
            </w:r>
            <w:r w:rsidR="007A7383" w:rsidRPr="00556BFA">
              <w:rPr>
                <w:rFonts w:hAnsi="Times New Roman" w:cs="Times New Roman"/>
                <w:sz w:val="22"/>
                <w:szCs w:val="22"/>
              </w:rPr>
              <w:t>this appeal</w:t>
            </w:r>
            <w:r w:rsidR="007A7383">
              <w:rPr>
                <w:rFonts w:hAnsi="Times New Roman" w:cs="Times New Roman"/>
                <w:sz w:val="22"/>
                <w:szCs w:val="22"/>
              </w:rPr>
              <w:t>)</w:t>
            </w:r>
          </w:p>
        </w:tc>
        <w:tc>
          <w:tcPr>
            <w:tcW w:w="2693" w:type="dxa"/>
          </w:tcPr>
          <w:p w14:paraId="0979A4A5" w14:textId="77777777" w:rsidR="00767FC3" w:rsidRPr="007E152C" w:rsidRDefault="00767FC3"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Heritage Council of Victoria</w:t>
            </w:r>
          </w:p>
        </w:tc>
        <w:tc>
          <w:tcPr>
            <w:tcW w:w="1615" w:type="dxa"/>
          </w:tcPr>
          <w:p w14:paraId="1AAE1055" w14:textId="77777777" w:rsidR="00767FC3" w:rsidRDefault="00232ED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19 </w:t>
            </w:r>
            <w:r w:rsidR="00767FC3">
              <w:rPr>
                <w:rFonts w:hAnsi="Times New Roman" w:cs="Times New Roman"/>
                <w:sz w:val="22"/>
                <w:szCs w:val="22"/>
              </w:rPr>
              <w:t>January 2016</w:t>
            </w:r>
          </w:p>
        </w:tc>
      </w:tr>
      <w:tr w:rsidR="00D202F1" w14:paraId="42B5DB72" w14:textId="77777777" w:rsidTr="00F95D47">
        <w:tc>
          <w:tcPr>
            <w:tcW w:w="4361" w:type="dxa"/>
          </w:tcPr>
          <w:p w14:paraId="1E10F921" w14:textId="77777777" w:rsidR="00D202F1" w:rsidRPr="00D5259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Hearing in relation to Stage 1 works</w:t>
            </w:r>
            <w:r w:rsidR="00BF1818">
              <w:rPr>
                <w:rFonts w:hAnsi="Times New Roman" w:cs="Times New Roman"/>
                <w:sz w:val="22"/>
                <w:szCs w:val="22"/>
              </w:rPr>
              <w:t xml:space="preserve"> Planning Permit Application</w:t>
            </w:r>
          </w:p>
        </w:tc>
        <w:tc>
          <w:tcPr>
            <w:tcW w:w="2693" w:type="dxa"/>
          </w:tcPr>
          <w:p w14:paraId="0C32330B" w14:textId="77777777" w:rsidR="00D202F1" w:rsidRPr="007E152C" w:rsidRDefault="00BF181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lang w:eastAsia="en-AU"/>
              </w:rPr>
              <w:t>Victorian Civil and Administrative Tribunal</w:t>
            </w:r>
          </w:p>
        </w:tc>
        <w:tc>
          <w:tcPr>
            <w:tcW w:w="1615" w:type="dxa"/>
          </w:tcPr>
          <w:p w14:paraId="7CDCEE7B" w14:textId="77777777" w:rsidR="00D202F1" w:rsidRPr="00D52599" w:rsidRDefault="00657D86"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11-15, 18-22 </w:t>
            </w:r>
            <w:r w:rsidR="000E4374">
              <w:rPr>
                <w:rFonts w:hAnsi="Times New Roman" w:cs="Times New Roman"/>
                <w:sz w:val="22"/>
                <w:szCs w:val="22"/>
              </w:rPr>
              <w:t xml:space="preserve"> </w:t>
            </w:r>
            <w:r w:rsidR="002F507E">
              <w:rPr>
                <w:rFonts w:hAnsi="Times New Roman" w:cs="Times New Roman"/>
                <w:sz w:val="22"/>
                <w:szCs w:val="22"/>
              </w:rPr>
              <w:t xml:space="preserve">January and </w:t>
            </w:r>
            <w:r>
              <w:rPr>
                <w:rFonts w:hAnsi="Times New Roman" w:cs="Times New Roman"/>
                <w:sz w:val="22"/>
                <w:szCs w:val="22"/>
              </w:rPr>
              <w:t xml:space="preserve">4 </w:t>
            </w:r>
            <w:r w:rsidR="002F507E">
              <w:rPr>
                <w:rFonts w:hAnsi="Times New Roman" w:cs="Times New Roman"/>
                <w:sz w:val="22"/>
                <w:szCs w:val="22"/>
              </w:rPr>
              <w:t>February 2016</w:t>
            </w:r>
          </w:p>
        </w:tc>
      </w:tr>
      <w:tr w:rsidR="00D202F1" w14:paraId="5BEDD0CE" w14:textId="77777777" w:rsidTr="00F95D47">
        <w:tc>
          <w:tcPr>
            <w:tcW w:w="4361" w:type="dxa"/>
          </w:tcPr>
          <w:p w14:paraId="55B07A81" w14:textId="77777777" w:rsidR="00D202F1" w:rsidRPr="00D52599" w:rsidRDefault="00C04C1D" w:rsidP="00F873DA">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Interim Order – Stage 1 </w:t>
            </w:r>
            <w:r w:rsidR="00F873DA">
              <w:rPr>
                <w:rFonts w:hAnsi="Times New Roman" w:cs="Times New Roman"/>
                <w:sz w:val="22"/>
                <w:szCs w:val="22"/>
              </w:rPr>
              <w:t>Planning Permit Application</w:t>
            </w:r>
          </w:p>
        </w:tc>
        <w:tc>
          <w:tcPr>
            <w:tcW w:w="2693" w:type="dxa"/>
          </w:tcPr>
          <w:p w14:paraId="6E589BC0" w14:textId="77777777" w:rsidR="00D202F1" w:rsidRPr="007E152C" w:rsidRDefault="00BF1818"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lang w:eastAsia="en-AU"/>
              </w:rPr>
              <w:t>Victorian Civil and Administrative Tribunal</w:t>
            </w:r>
          </w:p>
        </w:tc>
        <w:tc>
          <w:tcPr>
            <w:tcW w:w="1615" w:type="dxa"/>
          </w:tcPr>
          <w:p w14:paraId="585BFC60" w14:textId="77777777" w:rsidR="00D202F1" w:rsidRPr="00D52599" w:rsidRDefault="00D52599"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18 March 2016</w:t>
            </w:r>
          </w:p>
        </w:tc>
      </w:tr>
      <w:tr w:rsidR="00D52599" w14:paraId="3F71A8F4" w14:textId="77777777" w:rsidTr="00F95D47">
        <w:tc>
          <w:tcPr>
            <w:tcW w:w="4361" w:type="dxa"/>
          </w:tcPr>
          <w:p w14:paraId="4D70582F" w14:textId="77777777" w:rsidR="00D52599" w:rsidRPr="00D5259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Application to Amend the Register received (amendment: permit exemptions)</w:t>
            </w:r>
          </w:p>
        </w:tc>
        <w:tc>
          <w:tcPr>
            <w:tcW w:w="2693" w:type="dxa"/>
          </w:tcPr>
          <w:p w14:paraId="69F3EBBF" w14:textId="77777777" w:rsidR="00D52599" w:rsidRPr="007E152C"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Executive Director, Heritage Victoria</w:t>
            </w:r>
          </w:p>
        </w:tc>
        <w:tc>
          <w:tcPr>
            <w:tcW w:w="1615" w:type="dxa"/>
          </w:tcPr>
          <w:p w14:paraId="4DA7F513" w14:textId="77777777" w:rsidR="00D52599" w:rsidRPr="00D5259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26 May 2016</w:t>
            </w:r>
          </w:p>
        </w:tc>
      </w:tr>
      <w:tr w:rsidR="002F507E" w14:paraId="17C059AF" w14:textId="77777777" w:rsidTr="00F95D47">
        <w:tc>
          <w:tcPr>
            <w:tcW w:w="4361" w:type="dxa"/>
          </w:tcPr>
          <w:p w14:paraId="066B6452" w14:textId="77777777" w:rsidR="002F507E"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Recommendation to Amend the Register</w:t>
            </w:r>
            <w:r w:rsidR="00A03191">
              <w:rPr>
                <w:rFonts w:hAnsi="Times New Roman" w:cs="Times New Roman"/>
                <w:sz w:val="22"/>
                <w:szCs w:val="22"/>
              </w:rPr>
              <w:t xml:space="preserve"> advertised</w:t>
            </w:r>
            <w:r w:rsidR="00F95D47">
              <w:rPr>
                <w:rFonts w:hAnsi="Times New Roman" w:cs="Times New Roman"/>
                <w:sz w:val="22"/>
                <w:szCs w:val="22"/>
              </w:rPr>
              <w:t xml:space="preserve"> (amendment: permit exemptions)</w:t>
            </w:r>
          </w:p>
        </w:tc>
        <w:tc>
          <w:tcPr>
            <w:tcW w:w="2693" w:type="dxa"/>
          </w:tcPr>
          <w:p w14:paraId="60F462CC" w14:textId="77777777" w:rsidR="002F507E" w:rsidRPr="007E152C"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Executive Director, Heritage Victoria</w:t>
            </w:r>
          </w:p>
        </w:tc>
        <w:tc>
          <w:tcPr>
            <w:tcW w:w="1615" w:type="dxa"/>
          </w:tcPr>
          <w:p w14:paraId="1A7F111E" w14:textId="77777777" w:rsidR="002F507E"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10 June 2016</w:t>
            </w:r>
          </w:p>
        </w:tc>
      </w:tr>
      <w:tr w:rsidR="00D8264F" w14:paraId="0F01DC08" w14:textId="77777777" w:rsidTr="00F95D47">
        <w:tc>
          <w:tcPr>
            <w:tcW w:w="4361" w:type="dxa"/>
          </w:tcPr>
          <w:p w14:paraId="493D4160" w14:textId="77777777" w:rsidR="00D8264F" w:rsidRDefault="00D8264F"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Decision – Refusal of Stage 2 works Planning Permit Application</w:t>
            </w:r>
          </w:p>
        </w:tc>
        <w:tc>
          <w:tcPr>
            <w:tcW w:w="2693" w:type="dxa"/>
          </w:tcPr>
          <w:p w14:paraId="4E01DF8F" w14:textId="77777777" w:rsidR="00D8264F" w:rsidRPr="007E152C" w:rsidRDefault="00D8264F"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Yarra City Council</w:t>
            </w:r>
          </w:p>
        </w:tc>
        <w:tc>
          <w:tcPr>
            <w:tcW w:w="1615" w:type="dxa"/>
          </w:tcPr>
          <w:p w14:paraId="38EA4911" w14:textId="77777777" w:rsidR="00D8264F" w:rsidRDefault="00D8264F"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14 June 2016</w:t>
            </w:r>
          </w:p>
        </w:tc>
      </w:tr>
      <w:tr w:rsidR="00D52599" w14:paraId="3B4B872A" w14:textId="77777777" w:rsidTr="00F95D47">
        <w:tc>
          <w:tcPr>
            <w:tcW w:w="4361" w:type="dxa"/>
          </w:tcPr>
          <w:p w14:paraId="5562E3FD" w14:textId="77777777" w:rsidR="00D52599" w:rsidRPr="00D5259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Stage 2 works Heritage Permit Application</w:t>
            </w:r>
            <w:r w:rsidR="00294840">
              <w:rPr>
                <w:rFonts w:hAnsi="Times New Roman" w:cs="Times New Roman"/>
                <w:sz w:val="22"/>
                <w:szCs w:val="22"/>
              </w:rPr>
              <w:t xml:space="preserve"> lodged</w:t>
            </w:r>
          </w:p>
        </w:tc>
        <w:tc>
          <w:tcPr>
            <w:tcW w:w="2693" w:type="dxa"/>
          </w:tcPr>
          <w:p w14:paraId="4DD14CE2" w14:textId="77777777" w:rsidR="00D52599" w:rsidRPr="007E152C"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rPr>
              <w:t>Executive Director, Heritage Victoria</w:t>
            </w:r>
          </w:p>
        </w:tc>
        <w:tc>
          <w:tcPr>
            <w:tcW w:w="1615" w:type="dxa"/>
          </w:tcPr>
          <w:p w14:paraId="717F4A1F" w14:textId="77777777" w:rsidR="00D52599" w:rsidRPr="00D52599" w:rsidRDefault="002F507E" w:rsidP="007B0144">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22 June 2016</w:t>
            </w:r>
          </w:p>
        </w:tc>
      </w:tr>
      <w:tr w:rsidR="00C04C1D" w14:paraId="27A7BA94" w14:textId="77777777" w:rsidTr="00F95D47">
        <w:tc>
          <w:tcPr>
            <w:tcW w:w="4361" w:type="dxa"/>
          </w:tcPr>
          <w:p w14:paraId="5B8D327E" w14:textId="77777777" w:rsidR="00C04C1D" w:rsidRPr="00D52599" w:rsidRDefault="00C04C1D" w:rsidP="00F95D47">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 xml:space="preserve">Order – </w:t>
            </w:r>
            <w:r w:rsidR="00F95D47">
              <w:rPr>
                <w:rFonts w:hAnsi="Times New Roman" w:cs="Times New Roman"/>
                <w:sz w:val="22"/>
                <w:szCs w:val="22"/>
              </w:rPr>
              <w:t xml:space="preserve">Planning Permit granted for </w:t>
            </w:r>
            <w:r>
              <w:rPr>
                <w:rFonts w:hAnsi="Times New Roman" w:cs="Times New Roman"/>
                <w:sz w:val="22"/>
                <w:szCs w:val="22"/>
              </w:rPr>
              <w:t xml:space="preserve">Stage 1 </w:t>
            </w:r>
            <w:r w:rsidR="002D2F9E">
              <w:rPr>
                <w:rFonts w:hAnsi="Times New Roman" w:cs="Times New Roman"/>
                <w:sz w:val="22"/>
                <w:szCs w:val="22"/>
              </w:rPr>
              <w:t>works</w:t>
            </w:r>
            <w:r>
              <w:rPr>
                <w:rFonts w:hAnsi="Times New Roman" w:cs="Times New Roman"/>
                <w:sz w:val="22"/>
                <w:szCs w:val="22"/>
              </w:rPr>
              <w:t xml:space="preserve"> </w:t>
            </w:r>
            <w:r w:rsidR="00662174">
              <w:rPr>
                <w:rFonts w:hAnsi="Times New Roman" w:cs="Times New Roman"/>
                <w:sz w:val="22"/>
                <w:szCs w:val="22"/>
              </w:rPr>
              <w:t>proposal</w:t>
            </w:r>
          </w:p>
        </w:tc>
        <w:tc>
          <w:tcPr>
            <w:tcW w:w="2693" w:type="dxa"/>
          </w:tcPr>
          <w:p w14:paraId="52D6FC9D" w14:textId="77777777" w:rsidR="00C04C1D" w:rsidRPr="007E152C" w:rsidRDefault="00BF1818" w:rsidP="000E2D29">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sidRPr="007E152C">
              <w:rPr>
                <w:rFonts w:hAnsi="Times New Roman" w:cs="Times New Roman"/>
                <w:sz w:val="22"/>
                <w:szCs w:val="22"/>
                <w:lang w:eastAsia="en-AU"/>
              </w:rPr>
              <w:t>Victorian Civil and Administrative Tribunal</w:t>
            </w:r>
          </w:p>
        </w:tc>
        <w:tc>
          <w:tcPr>
            <w:tcW w:w="1615" w:type="dxa"/>
          </w:tcPr>
          <w:p w14:paraId="1CA60202" w14:textId="77777777" w:rsidR="00C04C1D" w:rsidRPr="00D52599" w:rsidRDefault="00C04C1D" w:rsidP="000E2D29">
            <w:pPr>
              <w:pStyle w:val="Para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sz w:val="22"/>
                <w:szCs w:val="22"/>
              </w:rPr>
            </w:pPr>
            <w:r>
              <w:rPr>
                <w:rFonts w:hAnsi="Times New Roman" w:cs="Times New Roman"/>
                <w:sz w:val="22"/>
                <w:szCs w:val="22"/>
              </w:rPr>
              <w:t>15 July 2016</w:t>
            </w:r>
          </w:p>
        </w:tc>
      </w:tr>
    </w:tbl>
    <w:p w14:paraId="68AD8DEA" w14:textId="77777777" w:rsidR="0099376C" w:rsidRPr="007B0144" w:rsidRDefault="00050F24" w:rsidP="007B0144">
      <w:pPr>
        <w:pStyle w:val="Para1"/>
        <w:numPr>
          <w:ilvl w:val="0"/>
          <w:numId w:val="0"/>
        </w:numPr>
        <w:spacing w:line="240" w:lineRule="auto"/>
        <w:ind w:left="567"/>
        <w:rPr>
          <w:rFonts w:hAnsi="Times New Roman" w:cs="Times New Roman"/>
        </w:rPr>
      </w:pPr>
      <w:r w:rsidRPr="007B0144">
        <w:rPr>
          <w:rFonts w:hAnsi="Times New Roman" w:cs="Times New Roman"/>
        </w:rPr>
        <w:t xml:space="preserve"> </w:t>
      </w:r>
    </w:p>
    <w:p w14:paraId="652A3527" w14:textId="06C280A9" w:rsidR="008E72DD" w:rsidRPr="00782031" w:rsidRDefault="008E72DD" w:rsidP="009E774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line="240" w:lineRule="atLeast"/>
        <w:ind w:left="567" w:hanging="567"/>
        <w:jc w:val="both"/>
        <w:rPr>
          <w:rFonts w:hAnsi="Times New Roman" w:cs="Times New Roman"/>
          <w:lang w:eastAsia="en-AU"/>
        </w:rPr>
      </w:pPr>
      <w:r w:rsidRPr="00782031">
        <w:rPr>
          <w:rFonts w:hAnsi="Times New Roman" w:cs="Times New Roman"/>
          <w:lang w:eastAsia="en-AU"/>
        </w:rPr>
        <w:t xml:space="preserve">Since the </w:t>
      </w:r>
      <w:r w:rsidR="00294840">
        <w:rPr>
          <w:rFonts w:hAnsi="Times New Roman" w:cs="Times New Roman"/>
          <w:lang w:eastAsia="en-AU"/>
        </w:rPr>
        <w:t>Heritage Council</w:t>
      </w:r>
      <w:r w:rsidRPr="00782031">
        <w:rPr>
          <w:rFonts w:hAnsi="Times New Roman" w:cs="Times New Roman"/>
          <w:lang w:eastAsia="en-AU"/>
        </w:rPr>
        <w:t xml:space="preserve"> hearing</w:t>
      </w:r>
      <w:r w:rsidR="00664105">
        <w:rPr>
          <w:rFonts w:hAnsi="Times New Roman" w:cs="Times New Roman"/>
          <w:lang w:eastAsia="en-AU"/>
        </w:rPr>
        <w:t>,</w:t>
      </w:r>
      <w:r w:rsidR="00867206">
        <w:rPr>
          <w:rFonts w:hAnsi="Times New Roman" w:cs="Times New Roman"/>
          <w:lang w:eastAsia="en-AU"/>
        </w:rPr>
        <w:t xml:space="preserve"> as noted above</w:t>
      </w:r>
      <w:r w:rsidRPr="00782031">
        <w:rPr>
          <w:rFonts w:hAnsi="Times New Roman" w:cs="Times New Roman"/>
          <w:lang w:eastAsia="en-AU"/>
        </w:rPr>
        <w:t>, advice has been received that the Victorian Civil and Administrative Tribunal (‘VCAT’), on 15 July 2016, determined to grant Planning Permit No.</w:t>
      </w:r>
      <w:r w:rsidR="00E21B2E" w:rsidRPr="00782031">
        <w:rPr>
          <w:rFonts w:hAnsi="Times New Roman" w:cs="Times New Roman"/>
          <w:lang w:eastAsia="en-AU"/>
        </w:rPr>
        <w:t xml:space="preserve"> </w:t>
      </w:r>
      <w:r w:rsidRPr="00782031">
        <w:rPr>
          <w:rFonts w:hAnsi="Times New Roman" w:cs="Times New Roman"/>
          <w:lang w:eastAsia="en-AU"/>
        </w:rPr>
        <w:t xml:space="preserve">PLN/15/0355 for the use and development of the land which the Committee understands to include works broadly similar rather than identical to the proposed works before this Committee (VCAT Reference No. P1969/2015). The </w:t>
      </w:r>
      <w:r w:rsidR="000210BA">
        <w:rPr>
          <w:rFonts w:hAnsi="Times New Roman" w:cs="Times New Roman"/>
          <w:lang w:eastAsia="en-AU"/>
        </w:rPr>
        <w:t>decision</w:t>
      </w:r>
      <w:r w:rsidR="000210BA" w:rsidRPr="00782031">
        <w:rPr>
          <w:rFonts w:hAnsi="Times New Roman" w:cs="Times New Roman"/>
          <w:lang w:eastAsia="en-AU"/>
        </w:rPr>
        <w:t xml:space="preserve"> </w:t>
      </w:r>
      <w:r w:rsidR="000210BA">
        <w:rPr>
          <w:rFonts w:hAnsi="Times New Roman" w:cs="Times New Roman"/>
          <w:lang w:eastAsia="en-AU"/>
        </w:rPr>
        <w:t>in relation to</w:t>
      </w:r>
      <w:r w:rsidRPr="00782031">
        <w:rPr>
          <w:rFonts w:hAnsi="Times New Roman" w:cs="Times New Roman"/>
          <w:lang w:eastAsia="en-AU"/>
        </w:rPr>
        <w:t xml:space="preserve"> that application for review, made in the context of the </w:t>
      </w:r>
      <w:r w:rsidRPr="00782031">
        <w:rPr>
          <w:rFonts w:hAnsi="Times New Roman" w:cs="Times New Roman"/>
          <w:i/>
          <w:lang w:eastAsia="en-AU"/>
        </w:rPr>
        <w:t xml:space="preserve">Planning and Environment Act 1987 </w:t>
      </w:r>
      <w:r w:rsidRPr="00782031">
        <w:rPr>
          <w:rFonts w:hAnsi="Times New Roman" w:cs="Times New Roman"/>
          <w:lang w:eastAsia="en-AU"/>
        </w:rPr>
        <w:t>and the Yarra Planning Scheme, was explicitly made without consideratio</w:t>
      </w:r>
      <w:r w:rsidR="00E21B2E" w:rsidRPr="00782031">
        <w:rPr>
          <w:rFonts w:hAnsi="Times New Roman" w:cs="Times New Roman"/>
          <w:lang w:eastAsia="en-AU"/>
        </w:rPr>
        <w:t>n of heritage matters (see paragraph</w:t>
      </w:r>
      <w:r w:rsidR="00FD2CB1">
        <w:rPr>
          <w:rFonts w:hAnsi="Times New Roman" w:cs="Times New Roman"/>
          <w:lang w:eastAsia="en-AU"/>
        </w:rPr>
        <w:t>s</w:t>
      </w:r>
      <w:r w:rsidR="00E21B2E" w:rsidRPr="00782031">
        <w:rPr>
          <w:rFonts w:hAnsi="Times New Roman" w:cs="Times New Roman"/>
          <w:lang w:eastAsia="en-AU"/>
        </w:rPr>
        <w:t xml:space="preserve"> 32</w:t>
      </w:r>
      <w:r w:rsidR="00FD2CB1">
        <w:rPr>
          <w:rFonts w:hAnsi="Times New Roman" w:cs="Times New Roman"/>
          <w:lang w:eastAsia="en-AU"/>
        </w:rPr>
        <w:t xml:space="preserve"> and 45</w:t>
      </w:r>
      <w:r w:rsidR="00E21B2E" w:rsidRPr="00782031">
        <w:rPr>
          <w:rFonts w:hAnsi="Times New Roman" w:cs="Times New Roman"/>
          <w:lang w:eastAsia="en-AU"/>
        </w:rPr>
        <w:t xml:space="preserve"> of the VCAT </w:t>
      </w:r>
      <w:r w:rsidRPr="00782031">
        <w:rPr>
          <w:rFonts w:hAnsi="Times New Roman" w:cs="Times New Roman"/>
          <w:lang w:eastAsia="en-AU"/>
        </w:rPr>
        <w:t xml:space="preserve">interim </w:t>
      </w:r>
      <w:r w:rsidR="00CD3A6C">
        <w:rPr>
          <w:rFonts w:hAnsi="Times New Roman" w:cs="Times New Roman"/>
          <w:lang w:eastAsia="en-AU"/>
        </w:rPr>
        <w:t>order</w:t>
      </w:r>
      <w:r w:rsidR="00CD3A6C" w:rsidRPr="00782031">
        <w:rPr>
          <w:rFonts w:hAnsi="Times New Roman" w:cs="Times New Roman"/>
          <w:lang w:eastAsia="en-AU"/>
        </w:rPr>
        <w:t xml:space="preserve"> </w:t>
      </w:r>
      <w:r w:rsidR="00E21B2E" w:rsidRPr="00782031">
        <w:rPr>
          <w:rFonts w:hAnsi="Times New Roman" w:cs="Times New Roman"/>
          <w:lang w:eastAsia="en-AU"/>
        </w:rPr>
        <w:t>dated 18 March 2016</w:t>
      </w:r>
      <w:r w:rsidRPr="00782031">
        <w:rPr>
          <w:rFonts w:hAnsi="Times New Roman" w:cs="Times New Roman"/>
          <w:lang w:eastAsia="en-AU"/>
        </w:rPr>
        <w:t>)</w:t>
      </w:r>
      <w:r w:rsidR="00E21B2E" w:rsidRPr="00782031">
        <w:rPr>
          <w:rFonts w:hAnsi="Times New Roman" w:cs="Times New Roman"/>
          <w:lang w:eastAsia="en-AU"/>
        </w:rPr>
        <w:t>. The grant</w:t>
      </w:r>
      <w:r w:rsidR="006A71B3">
        <w:rPr>
          <w:rFonts w:hAnsi="Times New Roman" w:cs="Times New Roman"/>
          <w:lang w:eastAsia="en-AU"/>
        </w:rPr>
        <w:t>ing</w:t>
      </w:r>
      <w:r w:rsidR="00E21B2E" w:rsidRPr="00782031">
        <w:rPr>
          <w:rFonts w:hAnsi="Times New Roman" w:cs="Times New Roman"/>
          <w:lang w:eastAsia="en-AU"/>
        </w:rPr>
        <w:t xml:space="preserve"> of a planning permit</w:t>
      </w:r>
      <w:r w:rsidRPr="00782031">
        <w:rPr>
          <w:rFonts w:hAnsi="Times New Roman" w:cs="Times New Roman"/>
          <w:lang w:eastAsia="en-AU"/>
        </w:rPr>
        <w:t xml:space="preserve"> has not been a factor influencing this decision.</w:t>
      </w:r>
    </w:p>
    <w:p w14:paraId="5DD273FF" w14:textId="77777777" w:rsidR="00DF496E" w:rsidRDefault="0007387C" w:rsidP="003D41A9">
      <w:pPr>
        <w:pStyle w:val="Para1"/>
        <w:numPr>
          <w:ilvl w:val="0"/>
          <w:numId w:val="0"/>
        </w:numPr>
        <w:tabs>
          <w:tab w:val="left" w:pos="426"/>
        </w:tabs>
        <w:spacing w:before="120" w:line="240" w:lineRule="auto"/>
        <w:rPr>
          <w:rFonts w:hAnsi="Times New Roman" w:cs="Times New Roman"/>
          <w:b/>
        </w:rPr>
      </w:pPr>
      <w:r w:rsidRPr="00DF496E">
        <w:rPr>
          <w:rFonts w:hAnsi="Times New Roman" w:cs="Times New Roman"/>
          <w:b/>
        </w:rPr>
        <w:t>Pr</w:t>
      </w:r>
      <w:r w:rsidR="005911FA">
        <w:rPr>
          <w:rFonts w:hAnsi="Times New Roman" w:cs="Times New Roman"/>
          <w:b/>
        </w:rPr>
        <w:t xml:space="preserve">ocedural </w:t>
      </w:r>
      <w:r w:rsidRPr="00DF496E">
        <w:rPr>
          <w:rFonts w:hAnsi="Times New Roman" w:cs="Times New Roman"/>
          <w:b/>
        </w:rPr>
        <w:t>matters</w:t>
      </w:r>
    </w:p>
    <w:p w14:paraId="6DB8D5AD" w14:textId="77777777" w:rsidR="0007387C" w:rsidRPr="00DF496E" w:rsidRDefault="00D245FA" w:rsidP="00DB11EA">
      <w:pPr>
        <w:pStyle w:val="Para1"/>
        <w:numPr>
          <w:ilvl w:val="0"/>
          <w:numId w:val="0"/>
        </w:numPr>
        <w:tabs>
          <w:tab w:val="left" w:pos="426"/>
        </w:tabs>
        <w:spacing w:line="240" w:lineRule="auto"/>
        <w:rPr>
          <w:rFonts w:hAnsi="Times New Roman" w:cs="Times New Roman"/>
          <w:i/>
        </w:rPr>
      </w:pPr>
      <w:r>
        <w:rPr>
          <w:rFonts w:hAnsi="Times New Roman" w:cs="Times New Roman"/>
          <w:i/>
        </w:rPr>
        <w:t>Request for an adjournment</w:t>
      </w:r>
    </w:p>
    <w:p w14:paraId="66EA3818" w14:textId="77777777" w:rsidR="006B4A33" w:rsidRDefault="007B4D8B" w:rsidP="009E7748">
      <w:pPr>
        <w:pStyle w:val="Para1"/>
        <w:numPr>
          <w:ilvl w:val="0"/>
          <w:numId w:val="8"/>
        </w:numPr>
        <w:spacing w:line="240" w:lineRule="auto"/>
        <w:ind w:left="567" w:hanging="567"/>
        <w:rPr>
          <w:rFonts w:hAnsi="Times New Roman" w:cs="Times New Roman"/>
        </w:rPr>
      </w:pPr>
      <w:r>
        <w:rPr>
          <w:rFonts w:hAnsi="Times New Roman" w:cs="Times New Roman"/>
        </w:rPr>
        <w:t>As noted above t</w:t>
      </w:r>
      <w:r w:rsidR="00D3467A">
        <w:rPr>
          <w:rFonts w:hAnsi="Times New Roman" w:cs="Times New Roman"/>
        </w:rPr>
        <w:t xml:space="preserve">he </w:t>
      </w:r>
      <w:r w:rsidR="00E21B2E">
        <w:rPr>
          <w:rFonts w:hAnsi="Times New Roman" w:cs="Times New Roman"/>
        </w:rPr>
        <w:t xml:space="preserve">Committee </w:t>
      </w:r>
      <w:r w:rsidR="00D3467A">
        <w:rPr>
          <w:rFonts w:hAnsi="Times New Roman" w:cs="Times New Roman"/>
        </w:rPr>
        <w:t>hearing was originally scheduled fo</w:t>
      </w:r>
      <w:r w:rsidR="00F23E7D">
        <w:rPr>
          <w:rFonts w:hAnsi="Times New Roman" w:cs="Times New Roman"/>
        </w:rPr>
        <w:t xml:space="preserve">r </w:t>
      </w:r>
      <w:r w:rsidR="005076F1">
        <w:rPr>
          <w:rFonts w:hAnsi="Times New Roman" w:cs="Times New Roman"/>
        </w:rPr>
        <w:t>18 March</w:t>
      </w:r>
      <w:r w:rsidR="00881A4F">
        <w:rPr>
          <w:rFonts w:hAnsi="Times New Roman" w:cs="Times New Roman"/>
        </w:rPr>
        <w:t>, 2016</w:t>
      </w:r>
      <w:r w:rsidR="00F343D4">
        <w:rPr>
          <w:rFonts w:hAnsi="Times New Roman" w:cs="Times New Roman"/>
        </w:rPr>
        <w:t xml:space="preserve"> and all parties were notified</w:t>
      </w:r>
      <w:r w:rsidR="005076F1">
        <w:rPr>
          <w:rFonts w:hAnsi="Times New Roman" w:cs="Times New Roman"/>
        </w:rPr>
        <w:t xml:space="preserve"> of this date</w:t>
      </w:r>
      <w:r w:rsidR="00881A4F">
        <w:rPr>
          <w:rFonts w:hAnsi="Times New Roman" w:cs="Times New Roman"/>
        </w:rPr>
        <w:t>. T</w:t>
      </w:r>
      <w:r w:rsidR="006B4A33">
        <w:rPr>
          <w:rFonts w:hAnsi="Times New Roman" w:cs="Times New Roman"/>
        </w:rPr>
        <w:t xml:space="preserve">he Appellant </w:t>
      </w:r>
      <w:r w:rsidR="00F343D4">
        <w:rPr>
          <w:rFonts w:hAnsi="Times New Roman" w:cs="Times New Roman"/>
        </w:rPr>
        <w:t xml:space="preserve">subsequently </w:t>
      </w:r>
      <w:r w:rsidR="006B4A33">
        <w:rPr>
          <w:rFonts w:hAnsi="Times New Roman" w:cs="Times New Roman"/>
        </w:rPr>
        <w:t>requested an</w:t>
      </w:r>
      <w:r w:rsidR="00240B62">
        <w:rPr>
          <w:rFonts w:hAnsi="Times New Roman" w:cs="Times New Roman"/>
        </w:rPr>
        <w:t xml:space="preserve"> adjournment</w:t>
      </w:r>
      <w:r w:rsidR="00397AE6">
        <w:rPr>
          <w:rFonts w:hAnsi="Times New Roman" w:cs="Times New Roman"/>
        </w:rPr>
        <w:t xml:space="preserve"> </w:t>
      </w:r>
      <w:r w:rsidR="00881A4F">
        <w:rPr>
          <w:rFonts w:hAnsi="Times New Roman" w:cs="Times New Roman"/>
        </w:rPr>
        <w:t xml:space="preserve">in writing. </w:t>
      </w:r>
      <w:r w:rsidR="00DD212A">
        <w:rPr>
          <w:rFonts w:hAnsi="Times New Roman" w:cs="Times New Roman"/>
        </w:rPr>
        <w:t>The Committee sought the views of all parties</w:t>
      </w:r>
      <w:r w:rsidR="001439F0">
        <w:rPr>
          <w:rFonts w:hAnsi="Times New Roman" w:cs="Times New Roman"/>
        </w:rPr>
        <w:t xml:space="preserve"> in writing</w:t>
      </w:r>
      <w:r w:rsidR="00DD212A">
        <w:rPr>
          <w:rFonts w:hAnsi="Times New Roman" w:cs="Times New Roman"/>
        </w:rPr>
        <w:t xml:space="preserve"> before </w:t>
      </w:r>
      <w:r w:rsidR="00BD3BCE">
        <w:rPr>
          <w:rFonts w:hAnsi="Times New Roman" w:cs="Times New Roman"/>
        </w:rPr>
        <w:t>granting</w:t>
      </w:r>
      <w:r w:rsidR="00056C3A">
        <w:rPr>
          <w:rFonts w:hAnsi="Times New Roman" w:cs="Times New Roman"/>
        </w:rPr>
        <w:t xml:space="preserve"> the adjournment</w:t>
      </w:r>
      <w:r w:rsidR="00BD3BCE">
        <w:rPr>
          <w:rFonts w:hAnsi="Times New Roman" w:cs="Times New Roman"/>
        </w:rPr>
        <w:t xml:space="preserve"> request and adjourning</w:t>
      </w:r>
      <w:r w:rsidR="00F23E7D">
        <w:rPr>
          <w:rFonts w:hAnsi="Times New Roman" w:cs="Times New Roman"/>
        </w:rPr>
        <w:t xml:space="preserve"> </w:t>
      </w:r>
      <w:r w:rsidR="001439F0">
        <w:rPr>
          <w:rFonts w:hAnsi="Times New Roman" w:cs="Times New Roman"/>
        </w:rPr>
        <w:t xml:space="preserve">the hearing </w:t>
      </w:r>
      <w:r w:rsidR="005911FA">
        <w:rPr>
          <w:rFonts w:hAnsi="Times New Roman" w:cs="Times New Roman"/>
        </w:rPr>
        <w:t xml:space="preserve">to </w:t>
      </w:r>
      <w:r w:rsidR="00F23E7D">
        <w:rPr>
          <w:rFonts w:hAnsi="Times New Roman" w:cs="Times New Roman"/>
        </w:rPr>
        <w:t>23 and 24</w:t>
      </w:r>
      <w:r w:rsidR="00240B62">
        <w:rPr>
          <w:rFonts w:hAnsi="Times New Roman" w:cs="Times New Roman"/>
        </w:rPr>
        <w:t xml:space="preserve"> June 2016.</w:t>
      </w:r>
      <w:r w:rsidR="007B6F51">
        <w:rPr>
          <w:rFonts w:hAnsi="Times New Roman" w:cs="Times New Roman"/>
        </w:rPr>
        <w:t xml:space="preserve"> </w:t>
      </w:r>
      <w:r w:rsidR="005911FA">
        <w:rPr>
          <w:rFonts w:hAnsi="Times New Roman" w:cs="Times New Roman"/>
        </w:rPr>
        <w:t>A</w:t>
      </w:r>
      <w:r w:rsidR="00C34162">
        <w:rPr>
          <w:rFonts w:hAnsi="Times New Roman" w:cs="Times New Roman"/>
        </w:rPr>
        <w:t xml:space="preserve"> third day of</w:t>
      </w:r>
      <w:r w:rsidR="00F841B7">
        <w:rPr>
          <w:rFonts w:hAnsi="Times New Roman" w:cs="Times New Roman"/>
        </w:rPr>
        <w:t xml:space="preserve"> the</w:t>
      </w:r>
      <w:r w:rsidR="00C34162">
        <w:rPr>
          <w:rFonts w:hAnsi="Times New Roman" w:cs="Times New Roman"/>
        </w:rPr>
        <w:t xml:space="preserve"> hearing </w:t>
      </w:r>
      <w:r w:rsidR="005527B9">
        <w:rPr>
          <w:rFonts w:hAnsi="Times New Roman" w:cs="Times New Roman"/>
        </w:rPr>
        <w:t>took place on</w:t>
      </w:r>
      <w:r w:rsidR="007B6F51">
        <w:rPr>
          <w:rFonts w:hAnsi="Times New Roman" w:cs="Times New Roman"/>
        </w:rPr>
        <w:t xml:space="preserve"> 4 July 2016. </w:t>
      </w:r>
    </w:p>
    <w:p w14:paraId="658CFBDB" w14:textId="77777777" w:rsidR="00D245FA" w:rsidRPr="00D245FA" w:rsidRDefault="00627359" w:rsidP="003D41A9">
      <w:pPr>
        <w:pStyle w:val="Para1"/>
        <w:numPr>
          <w:ilvl w:val="0"/>
          <w:numId w:val="0"/>
        </w:numPr>
        <w:spacing w:line="240" w:lineRule="auto"/>
        <w:ind w:left="567" w:hanging="567"/>
        <w:rPr>
          <w:rFonts w:hAnsi="Times New Roman" w:cs="Times New Roman"/>
          <w:i/>
        </w:rPr>
      </w:pPr>
      <w:r>
        <w:rPr>
          <w:rFonts w:hAnsi="Times New Roman" w:cs="Times New Roman"/>
          <w:i/>
        </w:rPr>
        <w:t>Lodgment of</w:t>
      </w:r>
      <w:r w:rsidR="00D245FA">
        <w:rPr>
          <w:rFonts w:hAnsi="Times New Roman" w:cs="Times New Roman"/>
          <w:i/>
        </w:rPr>
        <w:t xml:space="preserve"> amended p</w:t>
      </w:r>
      <w:r w:rsidR="00D245FA" w:rsidRPr="00D245FA">
        <w:rPr>
          <w:rFonts w:hAnsi="Times New Roman" w:cs="Times New Roman"/>
          <w:i/>
        </w:rPr>
        <w:t>lans</w:t>
      </w:r>
    </w:p>
    <w:p w14:paraId="6CA6F239" w14:textId="39FB647D" w:rsidR="00F6084C" w:rsidRPr="00F6084C" w:rsidRDefault="006C72AF" w:rsidP="009E7748">
      <w:pPr>
        <w:pStyle w:val="Para1"/>
        <w:numPr>
          <w:ilvl w:val="0"/>
          <w:numId w:val="8"/>
        </w:numPr>
        <w:spacing w:line="240" w:lineRule="auto"/>
        <w:ind w:left="567" w:hanging="567"/>
        <w:rPr>
          <w:rFonts w:hAnsi="Times New Roman" w:cs="Times New Roman"/>
        </w:rPr>
      </w:pPr>
      <w:r>
        <w:rPr>
          <w:rFonts w:hAnsi="Times New Roman"/>
          <w:lang w:eastAsia="en-AU"/>
        </w:rPr>
        <w:t xml:space="preserve">On </w:t>
      </w:r>
      <w:r w:rsidR="00F1422B">
        <w:rPr>
          <w:rFonts w:hAnsi="Times New Roman"/>
          <w:lang w:eastAsia="en-AU"/>
        </w:rPr>
        <w:t>22 April</w:t>
      </w:r>
      <w:r w:rsidR="001F4A65" w:rsidRPr="00A323BA">
        <w:rPr>
          <w:rFonts w:hAnsi="Times New Roman"/>
          <w:lang w:eastAsia="en-AU"/>
        </w:rPr>
        <w:t xml:space="preserve"> 2016 the Appellant applied to lodge</w:t>
      </w:r>
      <w:r w:rsidR="00F6084C">
        <w:rPr>
          <w:rFonts w:hAnsi="Times New Roman"/>
          <w:lang w:eastAsia="en-AU"/>
        </w:rPr>
        <w:t xml:space="preserve"> </w:t>
      </w:r>
      <w:r w:rsidR="001F4A65" w:rsidRPr="00A323BA">
        <w:rPr>
          <w:rFonts w:hAnsi="Times New Roman"/>
          <w:lang w:eastAsia="en-AU"/>
        </w:rPr>
        <w:t>amended plans</w:t>
      </w:r>
      <w:r w:rsidR="00F6084C">
        <w:rPr>
          <w:rFonts w:hAnsi="Times New Roman"/>
          <w:lang w:eastAsia="en-AU"/>
        </w:rPr>
        <w:t>,</w:t>
      </w:r>
      <w:r w:rsidR="0077245D">
        <w:rPr>
          <w:rFonts w:hAnsi="Times New Roman"/>
          <w:lang w:eastAsia="en-AU"/>
        </w:rPr>
        <w:t xml:space="preserve"> </w:t>
      </w:r>
      <w:r w:rsidR="00F6084C" w:rsidRPr="00A323BA">
        <w:rPr>
          <w:rFonts w:hAnsi="Times New Roman"/>
          <w:lang w:eastAsia="en-AU"/>
        </w:rPr>
        <w:t xml:space="preserve">dated 17 March 2016, </w:t>
      </w:r>
      <w:r w:rsidR="0077245D">
        <w:rPr>
          <w:rFonts w:hAnsi="Times New Roman"/>
          <w:lang w:eastAsia="en-AU"/>
        </w:rPr>
        <w:t>in relation to the hearing</w:t>
      </w:r>
      <w:r w:rsidR="001F4A65" w:rsidRPr="00A323BA">
        <w:rPr>
          <w:rFonts w:hAnsi="Times New Roman"/>
          <w:lang w:eastAsia="en-AU"/>
        </w:rPr>
        <w:t xml:space="preserve">. </w:t>
      </w:r>
      <w:r w:rsidR="006F4AE6" w:rsidRPr="00A323BA">
        <w:rPr>
          <w:rFonts w:hAnsi="Times New Roman"/>
          <w:lang w:eastAsia="en-AU"/>
        </w:rPr>
        <w:t xml:space="preserve">The </w:t>
      </w:r>
      <w:r w:rsidR="00F75E27">
        <w:rPr>
          <w:rFonts w:hAnsi="Times New Roman"/>
          <w:lang w:eastAsia="en-AU"/>
        </w:rPr>
        <w:t xml:space="preserve">amended plans proposed </w:t>
      </w:r>
      <w:r w:rsidR="00BA3FF9">
        <w:rPr>
          <w:rFonts w:hAnsi="Times New Roman"/>
          <w:lang w:eastAsia="en-AU"/>
        </w:rPr>
        <w:t xml:space="preserve">additional </w:t>
      </w:r>
      <w:r w:rsidR="00F75E27">
        <w:rPr>
          <w:rFonts w:hAnsi="Times New Roman"/>
          <w:lang w:eastAsia="en-AU"/>
        </w:rPr>
        <w:t xml:space="preserve">works to other buildings </w:t>
      </w:r>
      <w:r w:rsidR="005958D8">
        <w:rPr>
          <w:rFonts w:hAnsi="Times New Roman"/>
          <w:lang w:eastAsia="en-AU"/>
        </w:rPr>
        <w:t>at the Place, including B5 and B7</w:t>
      </w:r>
      <w:r w:rsidR="00E21B2E">
        <w:rPr>
          <w:rFonts w:hAnsi="Times New Roman"/>
          <w:lang w:eastAsia="en-AU"/>
        </w:rPr>
        <w:t xml:space="preserve"> to the west of the Stage 1 area of the </w:t>
      </w:r>
      <w:r w:rsidR="00DB4EF5">
        <w:rPr>
          <w:rFonts w:hAnsi="Times New Roman"/>
          <w:lang w:eastAsia="en-AU"/>
        </w:rPr>
        <w:t>Place</w:t>
      </w:r>
      <w:r w:rsidR="005958D8">
        <w:rPr>
          <w:rFonts w:hAnsi="Times New Roman"/>
          <w:lang w:eastAsia="en-AU"/>
        </w:rPr>
        <w:t>,</w:t>
      </w:r>
      <w:r w:rsidR="00F75E27">
        <w:rPr>
          <w:rFonts w:hAnsi="Times New Roman"/>
          <w:lang w:eastAsia="en-AU"/>
        </w:rPr>
        <w:t xml:space="preserve"> which were not </w:t>
      </w:r>
      <w:r w:rsidR="009F4118">
        <w:rPr>
          <w:rFonts w:hAnsi="Times New Roman"/>
          <w:lang w:eastAsia="en-AU"/>
        </w:rPr>
        <w:t xml:space="preserve">earlier </w:t>
      </w:r>
      <w:r w:rsidR="00F75E27">
        <w:rPr>
          <w:rFonts w:hAnsi="Times New Roman"/>
          <w:lang w:eastAsia="en-AU"/>
        </w:rPr>
        <w:t xml:space="preserve">the subject of the Application. </w:t>
      </w:r>
      <w:r w:rsidR="009E5CEA">
        <w:rPr>
          <w:rFonts w:hAnsi="Times New Roman"/>
          <w:lang w:eastAsia="en-AU"/>
        </w:rPr>
        <w:t xml:space="preserve">The </w:t>
      </w:r>
      <w:r w:rsidR="006F4AE6" w:rsidRPr="00A323BA">
        <w:rPr>
          <w:rFonts w:hAnsi="Times New Roman"/>
          <w:lang w:eastAsia="en-AU"/>
        </w:rPr>
        <w:t>Committee sought</w:t>
      </w:r>
      <w:r w:rsidR="0077245D">
        <w:rPr>
          <w:rFonts w:hAnsi="Times New Roman"/>
          <w:lang w:eastAsia="en-AU"/>
        </w:rPr>
        <w:t>, received</w:t>
      </w:r>
      <w:r w:rsidR="001F4A65" w:rsidRPr="00A323BA">
        <w:rPr>
          <w:rFonts w:hAnsi="Times New Roman"/>
          <w:lang w:eastAsia="en-AU"/>
        </w:rPr>
        <w:t xml:space="preserve"> </w:t>
      </w:r>
      <w:r w:rsidR="006F4AE6" w:rsidRPr="00A323BA">
        <w:rPr>
          <w:rFonts w:hAnsi="Times New Roman"/>
          <w:lang w:eastAsia="en-AU"/>
        </w:rPr>
        <w:t>and considered</w:t>
      </w:r>
      <w:r w:rsidR="0077245D">
        <w:rPr>
          <w:rFonts w:hAnsi="Times New Roman"/>
          <w:lang w:eastAsia="en-AU"/>
        </w:rPr>
        <w:t xml:space="preserve"> submissions</w:t>
      </w:r>
      <w:r w:rsidR="006F4AE6" w:rsidRPr="00A323BA">
        <w:rPr>
          <w:rFonts w:hAnsi="Times New Roman"/>
          <w:lang w:eastAsia="en-AU"/>
        </w:rPr>
        <w:t xml:space="preserve"> </w:t>
      </w:r>
      <w:r w:rsidR="001F4A65" w:rsidRPr="00A323BA">
        <w:rPr>
          <w:rFonts w:hAnsi="Times New Roman"/>
          <w:lang w:eastAsia="en-AU"/>
        </w:rPr>
        <w:t>from parties in relation to the applicat</w:t>
      </w:r>
      <w:r w:rsidR="00430D83" w:rsidRPr="00A323BA">
        <w:rPr>
          <w:rFonts w:hAnsi="Times New Roman"/>
          <w:lang w:eastAsia="en-AU"/>
        </w:rPr>
        <w:t xml:space="preserve">ion to lodge amended plans, </w:t>
      </w:r>
      <w:r w:rsidR="006F4AE6" w:rsidRPr="00A323BA">
        <w:rPr>
          <w:rFonts w:hAnsi="Times New Roman"/>
          <w:lang w:eastAsia="en-AU"/>
        </w:rPr>
        <w:t xml:space="preserve">and determined to </w:t>
      </w:r>
      <w:r w:rsidR="00F6084C">
        <w:rPr>
          <w:rFonts w:hAnsi="Times New Roman"/>
          <w:lang w:eastAsia="en-AU"/>
        </w:rPr>
        <w:t>allow</w:t>
      </w:r>
      <w:r w:rsidR="006F4AE6" w:rsidRPr="00A323BA">
        <w:rPr>
          <w:rFonts w:hAnsi="Times New Roman"/>
          <w:lang w:eastAsia="en-AU"/>
        </w:rPr>
        <w:t xml:space="preserve"> </w:t>
      </w:r>
      <w:r w:rsidR="00430D83" w:rsidRPr="00A323BA">
        <w:rPr>
          <w:rFonts w:hAnsi="Times New Roman"/>
          <w:lang w:eastAsia="en-AU"/>
        </w:rPr>
        <w:t>th</w:t>
      </w:r>
      <w:r w:rsidR="002013BB">
        <w:rPr>
          <w:rFonts w:hAnsi="Times New Roman"/>
          <w:lang w:eastAsia="en-AU"/>
        </w:rPr>
        <w:t xml:space="preserve">e amendment of the </w:t>
      </w:r>
      <w:r w:rsidR="008218E6">
        <w:rPr>
          <w:rFonts w:hAnsi="Times New Roman"/>
          <w:lang w:eastAsia="en-AU"/>
        </w:rPr>
        <w:t xml:space="preserve">plans </w:t>
      </w:r>
      <w:r w:rsidR="00487DC2">
        <w:rPr>
          <w:rFonts w:hAnsi="Times New Roman"/>
          <w:lang w:eastAsia="en-AU"/>
        </w:rPr>
        <w:t>under</w:t>
      </w:r>
      <w:r w:rsidR="008218E6">
        <w:rPr>
          <w:rFonts w:hAnsi="Times New Roman"/>
          <w:lang w:eastAsia="en-AU"/>
        </w:rPr>
        <w:t xml:space="preserve"> consideration,</w:t>
      </w:r>
      <w:r w:rsidR="0077245D">
        <w:rPr>
          <w:rFonts w:hAnsi="Times New Roman"/>
          <w:lang w:eastAsia="en-AU"/>
        </w:rPr>
        <w:t xml:space="preserve"> </w:t>
      </w:r>
      <w:r w:rsidR="005911FA">
        <w:rPr>
          <w:rFonts w:hAnsi="Times New Roman"/>
          <w:lang w:eastAsia="en-AU"/>
        </w:rPr>
        <w:t>but only</w:t>
      </w:r>
      <w:r w:rsidR="00EE2156">
        <w:rPr>
          <w:rFonts w:hAnsi="Times New Roman"/>
          <w:lang w:eastAsia="en-AU"/>
        </w:rPr>
        <w:t xml:space="preserve"> </w:t>
      </w:r>
      <w:r w:rsidR="00F1422B">
        <w:rPr>
          <w:rFonts w:hAnsi="Times New Roman"/>
          <w:lang w:eastAsia="en-AU"/>
        </w:rPr>
        <w:t>in so far as the</w:t>
      </w:r>
      <w:r w:rsidR="00EE2156">
        <w:rPr>
          <w:rFonts w:hAnsi="Times New Roman"/>
          <w:lang w:eastAsia="en-AU"/>
        </w:rPr>
        <w:t xml:space="preserve"> amended plans related to the same </w:t>
      </w:r>
      <w:r w:rsidR="00F1422B">
        <w:rPr>
          <w:rFonts w:hAnsi="Times New Roman"/>
          <w:lang w:eastAsia="en-AU"/>
        </w:rPr>
        <w:t>general</w:t>
      </w:r>
      <w:r w:rsidR="00EE2156">
        <w:rPr>
          <w:rFonts w:hAnsi="Times New Roman"/>
          <w:lang w:eastAsia="en-AU"/>
        </w:rPr>
        <w:t xml:space="preserve"> area of works </w:t>
      </w:r>
      <w:r w:rsidR="00F1422B">
        <w:rPr>
          <w:rFonts w:hAnsi="Times New Roman"/>
          <w:lang w:eastAsia="en-AU"/>
        </w:rPr>
        <w:t>proposed in</w:t>
      </w:r>
      <w:r w:rsidR="00EE2156">
        <w:rPr>
          <w:rFonts w:hAnsi="Times New Roman"/>
          <w:lang w:eastAsia="en-AU"/>
        </w:rPr>
        <w:t xml:space="preserve"> the Application</w:t>
      </w:r>
      <w:r w:rsidR="001F4A65" w:rsidRPr="00A323BA">
        <w:rPr>
          <w:rFonts w:hAnsi="Times New Roman"/>
          <w:lang w:eastAsia="en-AU"/>
        </w:rPr>
        <w:t xml:space="preserve">. </w:t>
      </w:r>
    </w:p>
    <w:p w14:paraId="5BA76399" w14:textId="77777777" w:rsidR="00EA4631" w:rsidRPr="00EA4631" w:rsidRDefault="001F4A65" w:rsidP="009E7748">
      <w:pPr>
        <w:pStyle w:val="Para1"/>
        <w:numPr>
          <w:ilvl w:val="0"/>
          <w:numId w:val="8"/>
        </w:numPr>
        <w:spacing w:line="240" w:lineRule="auto"/>
        <w:ind w:left="567" w:hanging="567"/>
        <w:rPr>
          <w:rFonts w:hAnsi="Times New Roman" w:cs="Times New Roman"/>
        </w:rPr>
      </w:pPr>
      <w:r w:rsidRPr="00A323BA">
        <w:rPr>
          <w:rFonts w:hAnsi="Times New Roman"/>
          <w:lang w:eastAsia="en-AU"/>
        </w:rPr>
        <w:t>The</w:t>
      </w:r>
      <w:r w:rsidR="00F6084C">
        <w:rPr>
          <w:rFonts w:hAnsi="Times New Roman"/>
          <w:lang w:eastAsia="en-AU"/>
        </w:rPr>
        <w:t xml:space="preserve"> Committee </w:t>
      </w:r>
      <w:r w:rsidR="004C232B">
        <w:rPr>
          <w:rFonts w:hAnsi="Times New Roman"/>
          <w:lang w:eastAsia="en-AU"/>
        </w:rPr>
        <w:t xml:space="preserve">also </w:t>
      </w:r>
      <w:r w:rsidR="00F6084C">
        <w:rPr>
          <w:rFonts w:hAnsi="Times New Roman"/>
          <w:lang w:eastAsia="en-AU"/>
        </w:rPr>
        <w:t>requested that the Appellant provide a second set of amended plans</w:t>
      </w:r>
      <w:r w:rsidR="008F2414">
        <w:rPr>
          <w:rFonts w:hAnsi="Times New Roman"/>
          <w:lang w:eastAsia="en-AU"/>
        </w:rPr>
        <w:t xml:space="preserve"> relating</w:t>
      </w:r>
      <w:r w:rsidR="00F378EB">
        <w:rPr>
          <w:rFonts w:hAnsi="Times New Roman"/>
          <w:lang w:eastAsia="en-AU"/>
        </w:rPr>
        <w:t xml:space="preserve"> </w:t>
      </w:r>
      <w:r w:rsidR="009F4118">
        <w:rPr>
          <w:rFonts w:hAnsi="Times New Roman"/>
          <w:lang w:eastAsia="en-AU"/>
        </w:rPr>
        <w:t xml:space="preserve">only </w:t>
      </w:r>
      <w:r w:rsidR="00F378EB">
        <w:rPr>
          <w:rFonts w:hAnsi="Times New Roman"/>
          <w:lang w:eastAsia="en-AU"/>
        </w:rPr>
        <w:t>to the same general area of works</w:t>
      </w:r>
      <w:r w:rsidR="005076F1">
        <w:rPr>
          <w:rFonts w:hAnsi="Times New Roman"/>
          <w:lang w:eastAsia="en-AU"/>
        </w:rPr>
        <w:t xml:space="preserve"> as </w:t>
      </w:r>
      <w:r w:rsidR="009F4118">
        <w:rPr>
          <w:rFonts w:hAnsi="Times New Roman"/>
          <w:lang w:eastAsia="en-AU"/>
        </w:rPr>
        <w:t>initially proposed</w:t>
      </w:r>
      <w:r w:rsidR="003C207F">
        <w:rPr>
          <w:rFonts w:hAnsi="Times New Roman"/>
          <w:lang w:eastAsia="en-AU"/>
        </w:rPr>
        <w:t xml:space="preserve"> by the Application</w:t>
      </w:r>
      <w:r w:rsidR="004C232B">
        <w:rPr>
          <w:rFonts w:hAnsi="Times New Roman"/>
          <w:lang w:eastAsia="en-AU"/>
        </w:rPr>
        <w:t>.</w:t>
      </w:r>
      <w:r w:rsidR="004E683D">
        <w:rPr>
          <w:rFonts w:hAnsi="Times New Roman"/>
          <w:lang w:eastAsia="en-AU"/>
        </w:rPr>
        <w:t xml:space="preserve"> </w:t>
      </w:r>
      <w:r w:rsidR="004C232B">
        <w:rPr>
          <w:rFonts w:hAnsi="Times New Roman"/>
          <w:lang w:eastAsia="en-AU"/>
        </w:rPr>
        <w:t xml:space="preserve">These </w:t>
      </w:r>
      <w:r w:rsidRPr="00A323BA">
        <w:rPr>
          <w:rFonts w:hAnsi="Times New Roman"/>
          <w:lang w:eastAsia="en-AU"/>
        </w:rPr>
        <w:t>plans</w:t>
      </w:r>
      <w:r w:rsidR="004E683D">
        <w:rPr>
          <w:rFonts w:hAnsi="Times New Roman"/>
          <w:lang w:eastAsia="en-AU"/>
        </w:rPr>
        <w:t xml:space="preserve"> </w:t>
      </w:r>
      <w:r w:rsidR="004E683D" w:rsidRPr="00432DBC">
        <w:rPr>
          <w:rFonts w:hAnsi="Times New Roman"/>
          <w:lang w:eastAsia="en-AU"/>
        </w:rPr>
        <w:t>were</w:t>
      </w:r>
      <w:r w:rsidR="00EE2156" w:rsidRPr="00432DBC">
        <w:rPr>
          <w:rFonts w:hAnsi="Times New Roman"/>
          <w:lang w:eastAsia="en-AU"/>
        </w:rPr>
        <w:t xml:space="preserve"> </w:t>
      </w:r>
      <w:r w:rsidR="004E683D" w:rsidRPr="00432DBC">
        <w:rPr>
          <w:rFonts w:hAnsi="Times New Roman"/>
          <w:lang w:eastAsia="en-AU"/>
        </w:rPr>
        <w:t>lodged</w:t>
      </w:r>
      <w:r w:rsidR="00EE2156" w:rsidRPr="00432DBC">
        <w:rPr>
          <w:rFonts w:hAnsi="Times New Roman"/>
          <w:lang w:eastAsia="en-AU"/>
        </w:rPr>
        <w:t xml:space="preserve"> by the </w:t>
      </w:r>
      <w:r w:rsidR="004E683D" w:rsidRPr="00432DBC">
        <w:rPr>
          <w:rFonts w:hAnsi="Times New Roman"/>
          <w:lang w:eastAsia="en-AU"/>
        </w:rPr>
        <w:t>Appellant on 20 May 2016</w:t>
      </w:r>
      <w:r w:rsidR="004E683D">
        <w:rPr>
          <w:rFonts w:hAnsi="Times New Roman"/>
          <w:lang w:eastAsia="en-AU"/>
        </w:rPr>
        <w:t xml:space="preserve"> (‘</w:t>
      </w:r>
      <w:r w:rsidR="004D653A">
        <w:rPr>
          <w:rFonts w:hAnsi="Times New Roman"/>
          <w:lang w:eastAsia="en-AU"/>
        </w:rPr>
        <w:t>the amended plans</w:t>
      </w:r>
      <w:r w:rsidR="004E683D">
        <w:rPr>
          <w:rFonts w:hAnsi="Times New Roman"/>
          <w:lang w:eastAsia="en-AU"/>
        </w:rPr>
        <w:t>’)</w:t>
      </w:r>
      <w:r w:rsidR="004C232B">
        <w:rPr>
          <w:rFonts w:hAnsi="Times New Roman"/>
          <w:lang w:eastAsia="en-AU"/>
        </w:rPr>
        <w:t>.</w:t>
      </w:r>
      <w:r w:rsidR="004E683D">
        <w:rPr>
          <w:rFonts w:hAnsi="Times New Roman"/>
          <w:lang w:eastAsia="en-AU"/>
        </w:rPr>
        <w:t xml:space="preserve"> </w:t>
      </w:r>
      <w:r w:rsidR="00045843" w:rsidRPr="00A323BA">
        <w:rPr>
          <w:rFonts w:hAnsi="Times New Roman"/>
          <w:lang w:eastAsia="en-AU"/>
        </w:rPr>
        <w:t xml:space="preserve"> </w:t>
      </w:r>
    </w:p>
    <w:p w14:paraId="3FA4DE31" w14:textId="6F76A752" w:rsidR="00C85785" w:rsidRPr="00C85785" w:rsidRDefault="004D653A" w:rsidP="00C85785">
      <w:pPr>
        <w:pStyle w:val="Para1"/>
        <w:numPr>
          <w:ilvl w:val="0"/>
          <w:numId w:val="8"/>
        </w:numPr>
        <w:ind w:left="567" w:hanging="567"/>
        <w:rPr>
          <w:rFonts w:hAnsi="Times New Roman" w:cs="Times New Roman"/>
        </w:rPr>
      </w:pPr>
      <w:r>
        <w:rPr>
          <w:rFonts w:hAnsi="Times New Roman"/>
          <w:lang w:eastAsia="en-AU"/>
        </w:rPr>
        <w:t>The amended plans</w:t>
      </w:r>
      <w:r w:rsidR="005E0183">
        <w:rPr>
          <w:rFonts w:hAnsi="Times New Roman"/>
          <w:lang w:eastAsia="en-AU"/>
        </w:rPr>
        <w:t xml:space="preserve"> </w:t>
      </w:r>
      <w:r w:rsidR="00692A6C">
        <w:rPr>
          <w:rFonts w:hAnsi="Times New Roman"/>
          <w:lang w:eastAsia="en-AU"/>
        </w:rPr>
        <w:t xml:space="preserve">were </w:t>
      </w:r>
      <w:r w:rsidR="004F5C46">
        <w:rPr>
          <w:rFonts w:hAnsi="Times New Roman"/>
          <w:lang w:eastAsia="en-AU"/>
        </w:rPr>
        <w:t xml:space="preserve">provided </w:t>
      </w:r>
      <w:r w:rsidR="00692A6C">
        <w:rPr>
          <w:rFonts w:hAnsi="Times New Roman"/>
          <w:lang w:eastAsia="en-AU"/>
        </w:rPr>
        <w:t>to all parties to the hearing</w:t>
      </w:r>
      <w:r w:rsidR="004C232B">
        <w:rPr>
          <w:rFonts w:hAnsi="Times New Roman"/>
          <w:lang w:eastAsia="en-AU"/>
        </w:rPr>
        <w:t>.</w:t>
      </w:r>
      <w:r w:rsidR="005E0183">
        <w:rPr>
          <w:rFonts w:hAnsi="Times New Roman"/>
          <w:lang w:eastAsia="en-AU"/>
        </w:rPr>
        <w:t xml:space="preserve"> They are identified as </w:t>
      </w:r>
      <w:r w:rsidR="004774D6" w:rsidRPr="00C85785">
        <w:rPr>
          <w:rFonts w:hAnsi="Times New Roman"/>
          <w:i/>
          <w:lang w:eastAsia="en-AU"/>
        </w:rPr>
        <w:t xml:space="preserve">Heritage Stage 1 </w:t>
      </w:r>
      <w:r w:rsidR="0052410C">
        <w:rPr>
          <w:rFonts w:hAnsi="Times New Roman"/>
          <w:i/>
          <w:lang w:eastAsia="en-AU"/>
        </w:rPr>
        <w:t xml:space="preserve">Allowed </w:t>
      </w:r>
      <w:r w:rsidR="004774D6" w:rsidRPr="00C85785">
        <w:rPr>
          <w:rFonts w:hAnsi="Times New Roman"/>
          <w:i/>
          <w:lang w:eastAsia="en-AU"/>
        </w:rPr>
        <w:t>Amended Plans dated May 2016</w:t>
      </w:r>
      <w:r w:rsidR="004774D6">
        <w:rPr>
          <w:rFonts w:hAnsi="Times New Roman"/>
          <w:lang w:eastAsia="en-AU"/>
        </w:rPr>
        <w:t xml:space="preserve"> prepared by Fender Katsalidis Architects</w:t>
      </w:r>
      <w:r w:rsidR="00155E83">
        <w:rPr>
          <w:rFonts w:hAnsi="Times New Roman"/>
          <w:lang w:eastAsia="en-AU"/>
        </w:rPr>
        <w:t>,</w:t>
      </w:r>
      <w:r w:rsidR="004774D6">
        <w:rPr>
          <w:rFonts w:hAnsi="Times New Roman"/>
          <w:lang w:eastAsia="en-AU"/>
        </w:rPr>
        <w:t xml:space="preserve"> </w:t>
      </w:r>
      <w:r w:rsidR="00C85785">
        <w:rPr>
          <w:rFonts w:hAnsi="Times New Roman"/>
          <w:lang w:eastAsia="en-AU"/>
        </w:rPr>
        <w:t>and include the following:</w:t>
      </w:r>
      <w:r w:rsidR="00C85785">
        <w:rPr>
          <w:rFonts w:hAnsi="Times New Roman" w:cs="Times New Roman"/>
        </w:rPr>
        <w:t xml:space="preserve"> </w:t>
      </w:r>
    </w:p>
    <w:p w14:paraId="32ECD013"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TP001 (title page/site plan)</w:t>
      </w:r>
    </w:p>
    <w:p w14:paraId="41F72D50"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TP002 (demolition plan)</w:t>
      </w:r>
    </w:p>
    <w:p w14:paraId="429229AF"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TP98-99 (basement plans)</w:t>
      </w:r>
    </w:p>
    <w:p w14:paraId="7C55ED52"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TP100-TP114 (ground floor to roof plans)</w:t>
      </w:r>
    </w:p>
    <w:p w14:paraId="077E5F53" w14:textId="77777777" w:rsidR="00C85785" w:rsidRP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TP200-TP205 (elevations)</w:t>
      </w:r>
    </w:p>
    <w:p w14:paraId="161BA26F" w14:textId="77777777" w:rsidR="00C85785" w:rsidRDefault="00C85785" w:rsidP="00C85785">
      <w:pPr>
        <w:pStyle w:val="Para1"/>
        <w:numPr>
          <w:ilvl w:val="0"/>
          <w:numId w:val="11"/>
        </w:numPr>
        <w:spacing w:after="0"/>
        <w:ind w:left="993" w:firstLine="0"/>
        <w:rPr>
          <w:rFonts w:hAnsi="Times New Roman" w:cs="Times New Roman"/>
        </w:rPr>
      </w:pPr>
      <w:r w:rsidRPr="00C85785">
        <w:rPr>
          <w:rFonts w:hAnsi="Times New Roman" w:cs="Times New Roman"/>
        </w:rPr>
        <w:t>TP300-TP301 (sections)</w:t>
      </w:r>
    </w:p>
    <w:p w14:paraId="3D334767"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Demolition plan + overview</w:t>
      </w:r>
    </w:p>
    <w:p w14:paraId="73471467"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B3 demolition north + south</w:t>
      </w:r>
    </w:p>
    <w:p w14:paraId="08E6B965"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B3 demolition east + west</w:t>
      </w:r>
    </w:p>
    <w:p w14:paraId="1663027A"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B1 + B2 demolition</w:t>
      </w:r>
    </w:p>
    <w:p w14:paraId="6F62D14B"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B4 demolition north + south</w:t>
      </w:r>
    </w:p>
    <w:p w14:paraId="3D041552"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B4 demolition east</w:t>
      </w:r>
    </w:p>
    <w:p w14:paraId="60B2B3FE"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Materials palette</w:t>
      </w:r>
    </w:p>
    <w:p w14:paraId="42B002DF" w14:textId="77777777" w:rsidR="00C85785" w:rsidRPr="00C85785" w:rsidRDefault="00C85785" w:rsidP="00C85785">
      <w:pPr>
        <w:pStyle w:val="Para1"/>
        <w:numPr>
          <w:ilvl w:val="0"/>
          <w:numId w:val="13"/>
        </w:numPr>
        <w:spacing w:after="0"/>
        <w:ind w:hanging="87"/>
        <w:rPr>
          <w:rFonts w:hAnsi="Times New Roman" w:cs="Times New Roman"/>
        </w:rPr>
      </w:pPr>
      <w:r w:rsidRPr="00C85785">
        <w:rPr>
          <w:rFonts w:hAnsi="Times New Roman" w:cs="Times New Roman"/>
        </w:rPr>
        <w:t>Examples</w:t>
      </w:r>
    </w:p>
    <w:p w14:paraId="756AF88E" w14:textId="77777777" w:rsidR="0052410C" w:rsidRPr="0052410C" w:rsidRDefault="0052410C" w:rsidP="0052410C">
      <w:pPr>
        <w:pStyle w:val="Para1"/>
        <w:numPr>
          <w:ilvl w:val="0"/>
          <w:numId w:val="8"/>
        </w:numPr>
        <w:spacing w:before="120" w:line="240" w:lineRule="auto"/>
        <w:ind w:left="567" w:hanging="567"/>
        <w:rPr>
          <w:rFonts w:hAnsi="Times New Roman" w:cs="Times New Roman"/>
        </w:rPr>
      </w:pPr>
      <w:r w:rsidRPr="00C85785">
        <w:rPr>
          <w:rFonts w:hAnsi="Times New Roman" w:cs="Times New Roman"/>
        </w:rPr>
        <w:t>The</w:t>
      </w:r>
      <w:r>
        <w:rPr>
          <w:rFonts w:hAnsi="Times New Roman" w:cs="Times New Roman"/>
        </w:rPr>
        <w:t xml:space="preserve"> amended plans also include an</w:t>
      </w:r>
      <w:r w:rsidRPr="00C85785">
        <w:rPr>
          <w:rFonts w:hAnsi="Times New Roman" w:cs="Times New Roman"/>
        </w:rPr>
        <w:t xml:space="preserve"> amended plan </w:t>
      </w:r>
      <w:r>
        <w:rPr>
          <w:rFonts w:hAnsi="Times New Roman" w:cs="Times New Roman"/>
        </w:rPr>
        <w:t>of the p</w:t>
      </w:r>
      <w:r w:rsidRPr="00C85785">
        <w:rPr>
          <w:rFonts w:hAnsi="Times New Roman" w:cs="Times New Roman"/>
        </w:rPr>
        <w:t xml:space="preserve">roposed south elevations </w:t>
      </w:r>
      <w:r w:rsidR="00131B7B">
        <w:rPr>
          <w:rFonts w:hAnsi="Times New Roman" w:cs="Times New Roman"/>
        </w:rPr>
        <w:t xml:space="preserve">of buildings </w:t>
      </w:r>
      <w:r w:rsidRPr="00C85785">
        <w:rPr>
          <w:rFonts w:hAnsi="Times New Roman" w:cs="Times New Roman"/>
        </w:rPr>
        <w:t>B3 and B4</w:t>
      </w:r>
      <w:r w:rsidR="00974C3F">
        <w:rPr>
          <w:rFonts w:hAnsi="Times New Roman" w:cs="Times New Roman"/>
        </w:rPr>
        <w:t>, prepared</w:t>
      </w:r>
      <w:r w:rsidRPr="00C85785">
        <w:rPr>
          <w:rFonts w:hAnsi="Times New Roman" w:cs="Times New Roman"/>
        </w:rPr>
        <w:t xml:space="preserve"> by Lovell Chen</w:t>
      </w:r>
      <w:r w:rsidR="00974C3F">
        <w:rPr>
          <w:rFonts w:hAnsi="Times New Roman" w:cs="Times New Roman"/>
        </w:rPr>
        <w:t>,</w:t>
      </w:r>
      <w:r>
        <w:rPr>
          <w:rFonts w:hAnsi="Times New Roman" w:cs="Times New Roman"/>
        </w:rPr>
        <w:t xml:space="preserve"> and </w:t>
      </w:r>
      <w:r w:rsidR="00974C3F">
        <w:rPr>
          <w:rFonts w:hAnsi="Times New Roman" w:cs="Times New Roman"/>
        </w:rPr>
        <w:t>a series of</w:t>
      </w:r>
      <w:r w:rsidRPr="00C85785">
        <w:rPr>
          <w:rFonts w:hAnsi="Times New Roman" w:cs="Times New Roman"/>
        </w:rPr>
        <w:t xml:space="preserve"> photomontages prepared by </w:t>
      </w:r>
      <w:r>
        <w:rPr>
          <w:rFonts w:hAnsi="Times New Roman" w:cs="Times New Roman"/>
        </w:rPr>
        <w:t>Orbit Solutions, both dated May 2016</w:t>
      </w:r>
      <w:r w:rsidRPr="00C85785">
        <w:rPr>
          <w:rFonts w:hAnsi="Times New Roman" w:cs="Times New Roman"/>
        </w:rPr>
        <w:t xml:space="preserve">. The </w:t>
      </w:r>
      <w:r w:rsidR="00974C3F">
        <w:rPr>
          <w:rFonts w:hAnsi="Times New Roman" w:cs="Times New Roman"/>
        </w:rPr>
        <w:t xml:space="preserve">Orbit Solutions </w:t>
      </w:r>
      <w:r w:rsidRPr="00C85785">
        <w:rPr>
          <w:rFonts w:hAnsi="Times New Roman" w:cs="Times New Roman"/>
        </w:rPr>
        <w:t>photomontages illustrate the before and after conditions</w:t>
      </w:r>
      <w:r w:rsidR="00DE27E4">
        <w:rPr>
          <w:rFonts w:hAnsi="Times New Roman" w:cs="Times New Roman"/>
        </w:rPr>
        <w:t>, including views of the Nylex S</w:t>
      </w:r>
      <w:r w:rsidRPr="00C85785">
        <w:rPr>
          <w:rFonts w:hAnsi="Times New Roman" w:cs="Times New Roman"/>
        </w:rPr>
        <w:t>ign</w:t>
      </w:r>
      <w:r w:rsidR="003A2C45">
        <w:rPr>
          <w:rFonts w:hAnsi="Times New Roman" w:cs="Times New Roman"/>
        </w:rPr>
        <w:t>.</w:t>
      </w:r>
    </w:p>
    <w:p w14:paraId="23CE4DBC" w14:textId="77777777" w:rsidR="00EA4631" w:rsidRPr="00EA4631" w:rsidRDefault="004D653A" w:rsidP="00C85785">
      <w:pPr>
        <w:pStyle w:val="Para1"/>
        <w:numPr>
          <w:ilvl w:val="0"/>
          <w:numId w:val="8"/>
        </w:numPr>
        <w:spacing w:before="120" w:line="240" w:lineRule="auto"/>
        <w:ind w:left="567" w:hanging="567"/>
        <w:rPr>
          <w:rFonts w:hAnsi="Times New Roman" w:cs="Times New Roman"/>
        </w:rPr>
      </w:pPr>
      <w:r>
        <w:rPr>
          <w:rFonts w:hAnsi="Times New Roman"/>
          <w:lang w:eastAsia="en-AU"/>
        </w:rPr>
        <w:t>The amended plans</w:t>
      </w:r>
      <w:r w:rsidR="004C232B">
        <w:rPr>
          <w:rFonts w:hAnsi="Times New Roman"/>
          <w:lang w:eastAsia="en-AU"/>
        </w:rPr>
        <w:t xml:space="preserve"> for the Committee’s consideration</w:t>
      </w:r>
      <w:r w:rsidR="00EA4631">
        <w:rPr>
          <w:rFonts w:hAnsi="Times New Roman"/>
          <w:lang w:eastAsia="en-AU"/>
        </w:rPr>
        <w:t xml:space="preserve"> </w:t>
      </w:r>
      <w:r w:rsidR="00C51B44">
        <w:rPr>
          <w:rFonts w:hAnsi="Times New Roman"/>
          <w:lang w:eastAsia="en-AU"/>
        </w:rPr>
        <w:t>include</w:t>
      </w:r>
      <w:r w:rsidR="00EA4631">
        <w:rPr>
          <w:rFonts w:hAnsi="Times New Roman"/>
          <w:lang w:eastAsia="en-AU"/>
        </w:rPr>
        <w:t xml:space="preserve"> the following</w:t>
      </w:r>
      <w:r w:rsidR="005D4704">
        <w:rPr>
          <w:rFonts w:hAnsi="Times New Roman"/>
          <w:lang w:eastAsia="en-AU"/>
        </w:rPr>
        <w:t xml:space="preserve"> </w:t>
      </w:r>
      <w:r w:rsidR="00C51B44">
        <w:rPr>
          <w:rFonts w:hAnsi="Times New Roman"/>
          <w:lang w:eastAsia="en-AU"/>
        </w:rPr>
        <w:t xml:space="preserve">works </w:t>
      </w:r>
      <w:r w:rsidR="0074029A">
        <w:rPr>
          <w:rFonts w:hAnsi="Times New Roman"/>
          <w:lang w:eastAsia="en-AU"/>
        </w:rPr>
        <w:t xml:space="preserve">in the Stage 1 area </w:t>
      </w:r>
      <w:r w:rsidR="00C51B44">
        <w:rPr>
          <w:rFonts w:hAnsi="Times New Roman"/>
          <w:lang w:eastAsia="en-AU"/>
        </w:rPr>
        <w:t>(‘the proposed works’)</w:t>
      </w:r>
      <w:r w:rsidR="00EA4631">
        <w:rPr>
          <w:rFonts w:hAnsi="Times New Roman"/>
          <w:lang w:eastAsia="en-AU"/>
        </w:rPr>
        <w:t xml:space="preserve">: </w:t>
      </w:r>
    </w:p>
    <w:p w14:paraId="3C88D95F" w14:textId="77777777" w:rsidR="00C51B44" w:rsidRPr="00857D0F" w:rsidRDefault="00C51B44" w:rsidP="009E7748">
      <w:pPr>
        <w:pStyle w:val="Para1"/>
        <w:numPr>
          <w:ilvl w:val="0"/>
          <w:numId w:val="10"/>
        </w:numPr>
        <w:spacing w:line="240" w:lineRule="auto"/>
        <w:rPr>
          <w:rFonts w:hAnsi="Times New Roman" w:cs="Times New Roman"/>
        </w:rPr>
      </w:pPr>
      <w:r>
        <w:rPr>
          <w:rFonts w:hAnsi="Times New Roman"/>
          <w:lang w:eastAsia="en-AU"/>
        </w:rPr>
        <w:t>Construction of a</w:t>
      </w:r>
      <w:r w:rsidR="0028262A">
        <w:rPr>
          <w:rFonts w:hAnsi="Times New Roman"/>
          <w:lang w:eastAsia="en-AU"/>
        </w:rPr>
        <w:t xml:space="preserve"> </w:t>
      </w:r>
      <w:r w:rsidR="0028262A" w:rsidRPr="00857D0F">
        <w:rPr>
          <w:rFonts w:hAnsi="Times New Roman"/>
          <w:lang w:eastAsia="en-AU"/>
        </w:rPr>
        <w:t xml:space="preserve">new </w:t>
      </w:r>
      <w:r w:rsidRPr="00857D0F">
        <w:rPr>
          <w:rFonts w:hAnsi="Times New Roman"/>
          <w:lang w:eastAsia="en-AU"/>
        </w:rPr>
        <w:t>13 storey building in the north</w:t>
      </w:r>
      <w:r w:rsidR="009F4118" w:rsidRPr="00857D0F">
        <w:rPr>
          <w:rFonts w:hAnsi="Times New Roman"/>
          <w:lang w:eastAsia="en-AU"/>
        </w:rPr>
        <w:t>-</w:t>
      </w:r>
      <w:r w:rsidRPr="00857D0F">
        <w:rPr>
          <w:rFonts w:hAnsi="Times New Roman"/>
          <w:lang w:eastAsia="en-AU"/>
        </w:rPr>
        <w:t>east of the Place</w:t>
      </w:r>
      <w:r w:rsidR="0028262A" w:rsidRPr="00857D0F">
        <w:rPr>
          <w:rFonts w:hAnsi="Times New Roman"/>
          <w:lang w:eastAsia="en-AU"/>
        </w:rPr>
        <w:t>,</w:t>
      </w:r>
      <w:r w:rsidR="00BF14EA">
        <w:rPr>
          <w:rFonts w:hAnsi="Times New Roman"/>
          <w:lang w:eastAsia="en-AU"/>
        </w:rPr>
        <w:t xml:space="preserve"> adjacent</w:t>
      </w:r>
      <w:r w:rsidR="0028262A" w:rsidRPr="00857D0F">
        <w:rPr>
          <w:rFonts w:hAnsi="Times New Roman"/>
          <w:lang w:eastAsia="en-AU"/>
        </w:rPr>
        <w:t xml:space="preserve"> to the</w:t>
      </w:r>
      <w:r w:rsidR="00AE5ED9">
        <w:rPr>
          <w:rFonts w:hAnsi="Times New Roman"/>
          <w:lang w:eastAsia="en-AU"/>
        </w:rPr>
        <w:t xml:space="preserve"> south-west</w:t>
      </w:r>
      <w:r w:rsidR="008818BE">
        <w:rPr>
          <w:rFonts w:hAnsi="Times New Roman"/>
          <w:lang w:eastAsia="en-AU"/>
        </w:rPr>
        <w:t xml:space="preserve"> </w:t>
      </w:r>
      <w:r w:rsidR="0028262A" w:rsidRPr="00857D0F">
        <w:rPr>
          <w:rFonts w:hAnsi="Times New Roman"/>
          <w:lang w:eastAsia="en-AU"/>
        </w:rPr>
        <w:t xml:space="preserve">corner of Gough </w:t>
      </w:r>
      <w:r w:rsidR="00BF14EA">
        <w:rPr>
          <w:rFonts w:hAnsi="Times New Roman"/>
          <w:lang w:eastAsia="en-AU"/>
        </w:rPr>
        <w:t xml:space="preserve">Street </w:t>
      </w:r>
      <w:r w:rsidR="0028262A" w:rsidRPr="00857D0F">
        <w:rPr>
          <w:rFonts w:hAnsi="Times New Roman"/>
          <w:lang w:eastAsia="en-AU"/>
        </w:rPr>
        <w:t xml:space="preserve">and Cremorne </w:t>
      </w:r>
      <w:r w:rsidR="009F4118" w:rsidRPr="00857D0F">
        <w:rPr>
          <w:rFonts w:hAnsi="Times New Roman"/>
          <w:lang w:eastAsia="en-AU"/>
        </w:rPr>
        <w:t>S</w:t>
      </w:r>
      <w:r w:rsidR="00BF14EA">
        <w:rPr>
          <w:rFonts w:hAnsi="Times New Roman"/>
          <w:lang w:eastAsia="en-AU"/>
        </w:rPr>
        <w:t>treet</w:t>
      </w:r>
      <w:r w:rsidRPr="00857D0F">
        <w:rPr>
          <w:rFonts w:hAnsi="Times New Roman"/>
          <w:lang w:eastAsia="en-AU"/>
        </w:rPr>
        <w:t>.</w:t>
      </w:r>
    </w:p>
    <w:p w14:paraId="6907F491" w14:textId="77777777" w:rsidR="00C8358D" w:rsidRPr="00857D0F" w:rsidRDefault="00C51B44" w:rsidP="009E7748">
      <w:pPr>
        <w:pStyle w:val="Para1"/>
        <w:numPr>
          <w:ilvl w:val="0"/>
          <w:numId w:val="10"/>
        </w:numPr>
        <w:spacing w:line="240" w:lineRule="auto"/>
        <w:rPr>
          <w:rFonts w:hAnsi="Times New Roman" w:cs="Times New Roman"/>
        </w:rPr>
      </w:pPr>
      <w:r w:rsidRPr="00857D0F">
        <w:rPr>
          <w:rFonts w:hAnsi="Times New Roman"/>
          <w:lang w:eastAsia="en-AU"/>
        </w:rPr>
        <w:t>Construction of a</w:t>
      </w:r>
      <w:r w:rsidR="009D5924" w:rsidRPr="00857D0F">
        <w:rPr>
          <w:rFonts w:hAnsi="Times New Roman"/>
          <w:lang w:eastAsia="en-AU"/>
        </w:rPr>
        <w:t xml:space="preserve"> </w:t>
      </w:r>
      <w:r w:rsidR="0028262A" w:rsidRPr="00857D0F">
        <w:rPr>
          <w:rFonts w:hAnsi="Times New Roman"/>
          <w:lang w:eastAsia="en-AU"/>
        </w:rPr>
        <w:t xml:space="preserve">new </w:t>
      </w:r>
      <w:r w:rsidR="009D5924" w:rsidRPr="00857D0F">
        <w:rPr>
          <w:rFonts w:hAnsi="Times New Roman"/>
          <w:lang w:eastAsia="en-AU"/>
        </w:rPr>
        <w:t>16</w:t>
      </w:r>
      <w:r w:rsidRPr="00857D0F">
        <w:rPr>
          <w:rFonts w:hAnsi="Times New Roman"/>
          <w:lang w:eastAsia="en-AU"/>
        </w:rPr>
        <w:t xml:space="preserve"> storey building in the </w:t>
      </w:r>
      <w:r w:rsidR="00C70532" w:rsidRPr="00857D0F">
        <w:rPr>
          <w:rFonts w:hAnsi="Times New Roman"/>
          <w:lang w:eastAsia="en-AU"/>
        </w:rPr>
        <w:t>south-</w:t>
      </w:r>
      <w:r w:rsidRPr="00857D0F">
        <w:rPr>
          <w:rFonts w:hAnsi="Times New Roman"/>
          <w:lang w:eastAsia="en-AU"/>
        </w:rPr>
        <w:t xml:space="preserve">east of the </w:t>
      </w:r>
      <w:r w:rsidR="0028262A" w:rsidRPr="00857D0F">
        <w:rPr>
          <w:rFonts w:hAnsi="Times New Roman"/>
          <w:lang w:eastAsia="en-AU"/>
        </w:rPr>
        <w:t>Place</w:t>
      </w:r>
      <w:r w:rsidRPr="00857D0F">
        <w:rPr>
          <w:rFonts w:hAnsi="Times New Roman"/>
          <w:lang w:eastAsia="en-AU"/>
        </w:rPr>
        <w:t>, projecting westwards</w:t>
      </w:r>
      <w:r w:rsidR="0028262A" w:rsidRPr="00857D0F">
        <w:rPr>
          <w:rFonts w:hAnsi="Times New Roman"/>
          <w:lang w:eastAsia="en-AU"/>
        </w:rPr>
        <w:t xml:space="preserve"> to the south</w:t>
      </w:r>
      <w:r w:rsidR="00333660" w:rsidRPr="00857D0F">
        <w:rPr>
          <w:rFonts w:hAnsi="Times New Roman"/>
          <w:lang w:eastAsia="en-AU"/>
        </w:rPr>
        <w:t>ern</w:t>
      </w:r>
      <w:r w:rsidR="0028262A" w:rsidRPr="00857D0F">
        <w:rPr>
          <w:rFonts w:hAnsi="Times New Roman"/>
          <w:lang w:eastAsia="en-AU"/>
        </w:rPr>
        <w:t xml:space="preserve"> side of </w:t>
      </w:r>
      <w:r w:rsidR="00333660" w:rsidRPr="00857D0F">
        <w:rPr>
          <w:rFonts w:hAnsi="Times New Roman"/>
          <w:lang w:eastAsia="en-AU"/>
        </w:rPr>
        <w:t xml:space="preserve">building </w:t>
      </w:r>
      <w:r w:rsidR="0028262A" w:rsidRPr="00857D0F">
        <w:rPr>
          <w:rFonts w:hAnsi="Times New Roman"/>
          <w:lang w:eastAsia="en-AU"/>
        </w:rPr>
        <w:t>B4</w:t>
      </w:r>
      <w:r w:rsidR="004C232B" w:rsidRPr="00857D0F">
        <w:rPr>
          <w:rFonts w:hAnsi="Times New Roman"/>
          <w:lang w:eastAsia="en-AU"/>
        </w:rPr>
        <w:t xml:space="preserve">. It </w:t>
      </w:r>
      <w:r w:rsidR="00102105" w:rsidRPr="00857D0F">
        <w:rPr>
          <w:rFonts w:hAnsi="Times New Roman"/>
          <w:lang w:eastAsia="en-AU"/>
        </w:rPr>
        <w:t xml:space="preserve">has a </w:t>
      </w:r>
      <w:r w:rsidR="004C232B" w:rsidRPr="00857D0F">
        <w:rPr>
          <w:rFonts w:hAnsi="Times New Roman"/>
          <w:lang w:eastAsia="en-AU"/>
        </w:rPr>
        <w:t xml:space="preserve">broadly </w:t>
      </w:r>
      <w:r w:rsidRPr="00857D0F">
        <w:rPr>
          <w:rFonts w:hAnsi="Times New Roman"/>
          <w:lang w:eastAsia="en-AU"/>
        </w:rPr>
        <w:t xml:space="preserve">elliptical </w:t>
      </w:r>
      <w:r w:rsidR="004C232B" w:rsidRPr="00857D0F">
        <w:rPr>
          <w:rFonts w:hAnsi="Times New Roman"/>
          <w:lang w:eastAsia="en-AU"/>
        </w:rPr>
        <w:t>shaped tower</w:t>
      </w:r>
      <w:r w:rsidR="00102105" w:rsidRPr="00857D0F">
        <w:rPr>
          <w:rFonts w:hAnsi="Times New Roman"/>
          <w:lang w:eastAsia="en-AU"/>
        </w:rPr>
        <w:t xml:space="preserve"> above level three</w:t>
      </w:r>
      <w:r w:rsidR="004774D6" w:rsidRPr="00857D0F">
        <w:rPr>
          <w:rFonts w:hAnsi="Times New Roman"/>
          <w:lang w:eastAsia="en-AU"/>
        </w:rPr>
        <w:t>,</w:t>
      </w:r>
      <w:r w:rsidR="00102105" w:rsidRPr="00857D0F">
        <w:rPr>
          <w:rFonts w:hAnsi="Times New Roman"/>
          <w:lang w:eastAsia="en-AU"/>
        </w:rPr>
        <w:t xml:space="preserve"> but </w:t>
      </w:r>
      <w:r w:rsidR="009E410D">
        <w:rPr>
          <w:rFonts w:hAnsi="Times New Roman"/>
          <w:lang w:eastAsia="en-AU"/>
        </w:rPr>
        <w:t>at the</w:t>
      </w:r>
      <w:r w:rsidR="00102105" w:rsidRPr="00857D0F">
        <w:rPr>
          <w:rFonts w:hAnsi="Times New Roman"/>
          <w:lang w:eastAsia="en-AU"/>
        </w:rPr>
        <w:t xml:space="preserve"> western end </w:t>
      </w:r>
      <w:r w:rsidR="004774D6" w:rsidRPr="00857D0F">
        <w:rPr>
          <w:rFonts w:hAnsi="Times New Roman"/>
          <w:lang w:eastAsia="en-AU"/>
        </w:rPr>
        <w:t xml:space="preserve">of </w:t>
      </w:r>
      <w:r w:rsidR="00102105" w:rsidRPr="00857D0F">
        <w:rPr>
          <w:rFonts w:hAnsi="Times New Roman"/>
          <w:lang w:eastAsia="en-AU"/>
        </w:rPr>
        <w:t>the</w:t>
      </w:r>
      <w:r w:rsidR="009E410D">
        <w:rPr>
          <w:rFonts w:hAnsi="Times New Roman"/>
          <w:lang w:eastAsia="en-AU"/>
        </w:rPr>
        <w:t xml:space="preserve"> floors between</w:t>
      </w:r>
      <w:r w:rsidR="00102105" w:rsidRPr="00857D0F">
        <w:rPr>
          <w:rFonts w:hAnsi="Times New Roman"/>
          <w:lang w:eastAsia="en-AU"/>
        </w:rPr>
        <w:t xml:space="preserve"> ground level to level 3 the shape of the building footprint has been modified. </w:t>
      </w:r>
    </w:p>
    <w:p w14:paraId="713E3D75" w14:textId="77777777" w:rsidR="007D5DFD" w:rsidRPr="00857D0F" w:rsidRDefault="00C51B44" w:rsidP="009E7748">
      <w:pPr>
        <w:pStyle w:val="Para1"/>
        <w:numPr>
          <w:ilvl w:val="0"/>
          <w:numId w:val="10"/>
        </w:numPr>
        <w:spacing w:line="240" w:lineRule="auto"/>
        <w:rPr>
          <w:rFonts w:hAnsi="Times New Roman" w:cs="Times New Roman"/>
        </w:rPr>
      </w:pPr>
      <w:r w:rsidRPr="00857D0F">
        <w:rPr>
          <w:rFonts w:hAnsi="Times New Roman"/>
          <w:lang w:eastAsia="en-AU"/>
        </w:rPr>
        <w:t xml:space="preserve">Construction of a </w:t>
      </w:r>
      <w:r w:rsidR="004C232B" w:rsidRPr="00857D0F">
        <w:rPr>
          <w:rFonts w:hAnsi="Times New Roman"/>
          <w:lang w:eastAsia="en-AU"/>
        </w:rPr>
        <w:t>three</w:t>
      </w:r>
      <w:r w:rsidRPr="00857D0F">
        <w:rPr>
          <w:rFonts w:hAnsi="Times New Roman"/>
          <w:lang w:eastAsia="en-AU"/>
        </w:rPr>
        <w:t xml:space="preserve"> storey building </w:t>
      </w:r>
      <w:r w:rsidR="0047417D" w:rsidRPr="00857D0F">
        <w:rPr>
          <w:rFonts w:hAnsi="Times New Roman"/>
          <w:lang w:eastAsia="en-AU"/>
        </w:rPr>
        <w:t xml:space="preserve">generally </w:t>
      </w:r>
      <w:r w:rsidR="00C70532" w:rsidRPr="00857D0F">
        <w:rPr>
          <w:rFonts w:hAnsi="Times New Roman"/>
          <w:lang w:eastAsia="en-AU"/>
        </w:rPr>
        <w:t>to</w:t>
      </w:r>
      <w:r w:rsidR="0047417D">
        <w:rPr>
          <w:rFonts w:hAnsi="Times New Roman"/>
          <w:lang w:eastAsia="en-AU"/>
        </w:rPr>
        <w:t xml:space="preserve"> the</w:t>
      </w:r>
      <w:r w:rsidR="00C70532" w:rsidRPr="00857D0F">
        <w:rPr>
          <w:rFonts w:hAnsi="Times New Roman"/>
          <w:lang w:eastAsia="en-AU"/>
        </w:rPr>
        <w:t xml:space="preserve"> </w:t>
      </w:r>
      <w:r w:rsidR="00102105" w:rsidRPr="00857D0F">
        <w:rPr>
          <w:rFonts w:hAnsi="Times New Roman"/>
          <w:lang w:eastAsia="en-AU"/>
        </w:rPr>
        <w:t>east</w:t>
      </w:r>
      <w:r w:rsidR="00C70532" w:rsidRPr="00857D0F">
        <w:rPr>
          <w:rFonts w:hAnsi="Times New Roman"/>
          <w:lang w:eastAsia="en-AU"/>
        </w:rPr>
        <w:t xml:space="preserve"> of </w:t>
      </w:r>
      <w:r w:rsidR="009E5CEA" w:rsidRPr="00857D0F">
        <w:rPr>
          <w:rFonts w:hAnsi="Times New Roman"/>
          <w:lang w:eastAsia="en-AU"/>
        </w:rPr>
        <w:t>the retained fac</w:t>
      </w:r>
      <w:r w:rsidR="009F4118" w:rsidRPr="00857D0F">
        <w:rPr>
          <w:rFonts w:hAnsi="Times New Roman"/>
          <w:lang w:eastAsia="en-AU"/>
        </w:rPr>
        <w:t>ade</w:t>
      </w:r>
      <w:r w:rsidR="009E5CEA" w:rsidRPr="00857D0F">
        <w:rPr>
          <w:rFonts w:hAnsi="Times New Roman"/>
          <w:lang w:eastAsia="en-AU"/>
        </w:rPr>
        <w:t xml:space="preserve"> of </w:t>
      </w:r>
      <w:r w:rsidR="00333660" w:rsidRPr="00857D0F">
        <w:rPr>
          <w:rFonts w:hAnsi="Times New Roman"/>
          <w:lang w:eastAsia="en-AU"/>
        </w:rPr>
        <w:t xml:space="preserve">building </w:t>
      </w:r>
      <w:r w:rsidR="009E5CEA" w:rsidRPr="00857D0F">
        <w:rPr>
          <w:rFonts w:hAnsi="Times New Roman"/>
          <w:lang w:eastAsia="en-AU"/>
        </w:rPr>
        <w:t xml:space="preserve">B3 </w:t>
      </w:r>
      <w:r w:rsidRPr="00857D0F">
        <w:rPr>
          <w:rFonts w:hAnsi="Times New Roman"/>
          <w:lang w:eastAsia="en-AU"/>
        </w:rPr>
        <w:t>with direct access to Gough Street</w:t>
      </w:r>
      <w:r w:rsidR="00360555">
        <w:rPr>
          <w:rFonts w:hAnsi="Times New Roman"/>
          <w:lang w:eastAsia="en-AU"/>
        </w:rPr>
        <w:t>.</w:t>
      </w:r>
      <w:r w:rsidR="00C70532" w:rsidRPr="00857D0F">
        <w:rPr>
          <w:rFonts w:hAnsi="Times New Roman"/>
          <w:lang w:eastAsia="en-AU"/>
        </w:rPr>
        <w:t xml:space="preserve"> </w:t>
      </w:r>
      <w:r w:rsidR="00360555">
        <w:rPr>
          <w:rFonts w:hAnsi="Times New Roman"/>
          <w:lang w:eastAsia="en-AU"/>
        </w:rPr>
        <w:t>It would be</w:t>
      </w:r>
      <w:r w:rsidR="00C70532" w:rsidRPr="00857D0F">
        <w:rPr>
          <w:rFonts w:hAnsi="Times New Roman"/>
          <w:lang w:eastAsia="en-AU"/>
        </w:rPr>
        <w:t xml:space="preserve"> </w:t>
      </w:r>
      <w:r w:rsidRPr="00857D0F">
        <w:rPr>
          <w:rFonts w:hAnsi="Times New Roman"/>
          <w:lang w:eastAsia="en-AU"/>
        </w:rPr>
        <w:t>separated from the east</w:t>
      </w:r>
      <w:r w:rsidR="00C70532" w:rsidRPr="00857D0F">
        <w:rPr>
          <w:rFonts w:hAnsi="Times New Roman"/>
          <w:lang w:eastAsia="en-AU"/>
        </w:rPr>
        <w:t xml:space="preserve">ern </w:t>
      </w:r>
      <w:r w:rsidR="00BE2260" w:rsidRPr="00857D0F">
        <w:rPr>
          <w:rFonts w:hAnsi="Times New Roman"/>
          <w:lang w:eastAsia="en-AU"/>
        </w:rPr>
        <w:t>wall</w:t>
      </w:r>
      <w:r w:rsidRPr="00857D0F">
        <w:rPr>
          <w:rFonts w:hAnsi="Times New Roman"/>
          <w:lang w:eastAsia="en-AU"/>
        </w:rPr>
        <w:t xml:space="preserve"> of B4 by a new internal north-south pedestrian laneway</w:t>
      </w:r>
      <w:r w:rsidR="0074029A" w:rsidRPr="00857D0F">
        <w:rPr>
          <w:rFonts w:hAnsi="Times New Roman"/>
          <w:lang w:eastAsia="en-AU"/>
        </w:rPr>
        <w:t xml:space="preserve"> leading from the facade of B3</w:t>
      </w:r>
      <w:r w:rsidR="00102105" w:rsidRPr="00857D0F">
        <w:rPr>
          <w:rFonts w:hAnsi="Times New Roman"/>
          <w:lang w:eastAsia="en-AU"/>
        </w:rPr>
        <w:t>.</w:t>
      </w:r>
      <w:r w:rsidRPr="00857D0F">
        <w:rPr>
          <w:rFonts w:hAnsi="Times New Roman"/>
          <w:lang w:eastAsia="en-AU"/>
        </w:rPr>
        <w:t xml:space="preserve"> </w:t>
      </w:r>
    </w:p>
    <w:p w14:paraId="7BC8A916" w14:textId="77777777" w:rsidR="00C51B44" w:rsidRPr="00857D0F" w:rsidRDefault="007D5DFD" w:rsidP="009E7748">
      <w:pPr>
        <w:pStyle w:val="Para1"/>
        <w:numPr>
          <w:ilvl w:val="0"/>
          <w:numId w:val="10"/>
        </w:numPr>
        <w:spacing w:line="240" w:lineRule="auto"/>
        <w:rPr>
          <w:rFonts w:hAnsi="Times New Roman" w:cs="Times New Roman"/>
        </w:rPr>
      </w:pPr>
      <w:r w:rsidRPr="00857D0F">
        <w:rPr>
          <w:rFonts w:hAnsi="Times New Roman"/>
          <w:lang w:eastAsia="en-AU"/>
        </w:rPr>
        <w:t xml:space="preserve">Construction </w:t>
      </w:r>
      <w:r w:rsidR="00C51B44" w:rsidRPr="00857D0F">
        <w:rPr>
          <w:rFonts w:hAnsi="Times New Roman"/>
          <w:lang w:eastAsia="en-AU"/>
        </w:rPr>
        <w:t xml:space="preserve">of a </w:t>
      </w:r>
      <w:r w:rsidR="004C232B" w:rsidRPr="00857D0F">
        <w:rPr>
          <w:rFonts w:hAnsi="Times New Roman"/>
          <w:lang w:eastAsia="en-AU"/>
        </w:rPr>
        <w:t>three</w:t>
      </w:r>
      <w:r w:rsidR="00C51B44" w:rsidRPr="00857D0F">
        <w:rPr>
          <w:rFonts w:hAnsi="Times New Roman"/>
          <w:lang w:eastAsia="en-AU"/>
        </w:rPr>
        <w:t xml:space="preserve"> storey building to the east of B4</w:t>
      </w:r>
      <w:r w:rsidR="00102105" w:rsidRPr="00857D0F">
        <w:rPr>
          <w:rFonts w:hAnsi="Times New Roman"/>
          <w:lang w:eastAsia="en-AU"/>
        </w:rPr>
        <w:t xml:space="preserve"> at its southern end</w:t>
      </w:r>
      <w:r w:rsidRPr="00857D0F">
        <w:rPr>
          <w:rFonts w:hAnsi="Times New Roman"/>
          <w:lang w:eastAsia="en-AU"/>
        </w:rPr>
        <w:t xml:space="preserve">, connecting to the taller building </w:t>
      </w:r>
      <w:r w:rsidR="00102105" w:rsidRPr="00857D0F">
        <w:rPr>
          <w:rFonts w:hAnsi="Times New Roman"/>
          <w:lang w:eastAsia="en-AU"/>
        </w:rPr>
        <w:t xml:space="preserve">further </w:t>
      </w:r>
      <w:r w:rsidRPr="00857D0F">
        <w:rPr>
          <w:rFonts w:hAnsi="Times New Roman"/>
          <w:lang w:eastAsia="en-AU"/>
        </w:rPr>
        <w:t>to its south</w:t>
      </w:r>
      <w:r w:rsidR="00C51B44" w:rsidRPr="00857D0F">
        <w:rPr>
          <w:rFonts w:hAnsi="Times New Roman"/>
          <w:lang w:eastAsia="en-AU"/>
        </w:rPr>
        <w:t>.</w:t>
      </w:r>
    </w:p>
    <w:p w14:paraId="5C0BAD4C" w14:textId="77777777" w:rsidR="00EA4631" w:rsidRPr="00C51B44" w:rsidRDefault="009D5924" w:rsidP="009E7748">
      <w:pPr>
        <w:pStyle w:val="Para1"/>
        <w:numPr>
          <w:ilvl w:val="0"/>
          <w:numId w:val="10"/>
        </w:numPr>
        <w:spacing w:line="240" w:lineRule="auto"/>
        <w:rPr>
          <w:rFonts w:hAnsi="Times New Roman" w:cs="Times New Roman"/>
        </w:rPr>
      </w:pPr>
      <w:r>
        <w:rPr>
          <w:rFonts w:hAnsi="Times New Roman"/>
          <w:lang w:eastAsia="en-AU"/>
        </w:rPr>
        <w:t>Demolition of</w:t>
      </w:r>
      <w:r w:rsidR="00C8358D">
        <w:rPr>
          <w:rFonts w:hAnsi="Times New Roman"/>
          <w:lang w:eastAsia="en-AU"/>
        </w:rPr>
        <w:t xml:space="preserve"> </w:t>
      </w:r>
      <w:r w:rsidR="0074029A">
        <w:rPr>
          <w:rFonts w:hAnsi="Times New Roman"/>
          <w:lang w:eastAsia="en-AU"/>
        </w:rPr>
        <w:t>all of</w:t>
      </w:r>
      <w:r w:rsidR="00BE2260">
        <w:rPr>
          <w:rFonts w:hAnsi="Times New Roman"/>
          <w:lang w:eastAsia="en-AU"/>
        </w:rPr>
        <w:t xml:space="preserve"> </w:t>
      </w:r>
      <w:r w:rsidR="00C8358D">
        <w:rPr>
          <w:rFonts w:hAnsi="Times New Roman"/>
          <w:lang w:eastAsia="en-AU"/>
        </w:rPr>
        <w:t>B1 and B2</w:t>
      </w:r>
      <w:r w:rsidR="0074029A">
        <w:rPr>
          <w:rFonts w:hAnsi="Times New Roman"/>
          <w:lang w:eastAsia="en-AU"/>
        </w:rPr>
        <w:t xml:space="preserve"> -</w:t>
      </w:r>
      <w:r>
        <w:rPr>
          <w:rFonts w:hAnsi="Times New Roman"/>
          <w:lang w:eastAsia="en-AU"/>
        </w:rPr>
        <w:t xml:space="preserve"> the brick walls to Gough and Cremorne Streets</w:t>
      </w:r>
      <w:r w:rsidR="00C8358D">
        <w:rPr>
          <w:rFonts w:hAnsi="Times New Roman"/>
          <w:lang w:eastAsia="en-AU"/>
        </w:rPr>
        <w:t>.</w:t>
      </w:r>
    </w:p>
    <w:p w14:paraId="470423A3" w14:textId="77777777" w:rsidR="006A09E9" w:rsidRPr="006A09E9" w:rsidRDefault="00C51B44" w:rsidP="009E7748">
      <w:pPr>
        <w:pStyle w:val="Para1"/>
        <w:numPr>
          <w:ilvl w:val="0"/>
          <w:numId w:val="10"/>
        </w:numPr>
        <w:spacing w:line="240" w:lineRule="auto"/>
        <w:rPr>
          <w:rFonts w:hAnsi="Times New Roman" w:cs="Times New Roman"/>
        </w:rPr>
      </w:pPr>
      <w:r>
        <w:rPr>
          <w:rFonts w:hAnsi="Times New Roman"/>
          <w:lang w:eastAsia="en-AU"/>
        </w:rPr>
        <w:t xml:space="preserve">Demolition of </w:t>
      </w:r>
      <w:r w:rsidR="0074029A">
        <w:rPr>
          <w:rFonts w:hAnsi="Times New Roman"/>
          <w:lang w:eastAsia="en-AU"/>
        </w:rPr>
        <w:t>most</w:t>
      </w:r>
      <w:r>
        <w:rPr>
          <w:rFonts w:hAnsi="Times New Roman"/>
          <w:lang w:eastAsia="en-AU"/>
        </w:rPr>
        <w:t xml:space="preserve"> of B3</w:t>
      </w:r>
      <w:r w:rsidR="006A09E9">
        <w:rPr>
          <w:rFonts w:hAnsi="Times New Roman"/>
          <w:lang w:eastAsia="en-AU"/>
        </w:rPr>
        <w:t xml:space="preserve">, </w:t>
      </w:r>
      <w:r w:rsidR="0074029A">
        <w:rPr>
          <w:rFonts w:hAnsi="Times New Roman"/>
          <w:lang w:eastAsia="en-AU"/>
        </w:rPr>
        <w:t>except for</w:t>
      </w:r>
      <w:r w:rsidR="006A09E9">
        <w:rPr>
          <w:rFonts w:hAnsi="Times New Roman"/>
          <w:lang w:eastAsia="en-AU"/>
        </w:rPr>
        <w:t xml:space="preserve"> the front wall to Gough Street.</w:t>
      </w:r>
      <w:r>
        <w:rPr>
          <w:rFonts w:hAnsi="Times New Roman"/>
          <w:lang w:eastAsia="en-AU"/>
        </w:rPr>
        <w:t xml:space="preserve"> </w:t>
      </w:r>
    </w:p>
    <w:p w14:paraId="04D7F4B1" w14:textId="77777777" w:rsidR="00C51B44" w:rsidRPr="00CF28DC" w:rsidRDefault="006A09E9" w:rsidP="009E7748">
      <w:pPr>
        <w:pStyle w:val="Para1"/>
        <w:numPr>
          <w:ilvl w:val="0"/>
          <w:numId w:val="10"/>
        </w:numPr>
        <w:spacing w:line="240" w:lineRule="auto"/>
        <w:rPr>
          <w:rFonts w:hAnsi="Times New Roman" w:cs="Times New Roman"/>
        </w:rPr>
      </w:pPr>
      <w:r>
        <w:rPr>
          <w:rFonts w:hAnsi="Times New Roman"/>
          <w:lang w:eastAsia="en-AU"/>
        </w:rPr>
        <w:t xml:space="preserve">Demolition </w:t>
      </w:r>
      <w:r w:rsidR="00C51B44">
        <w:rPr>
          <w:rFonts w:hAnsi="Times New Roman"/>
          <w:lang w:eastAsia="en-AU"/>
        </w:rPr>
        <w:t xml:space="preserve">of the </w:t>
      </w:r>
      <w:r>
        <w:rPr>
          <w:rFonts w:hAnsi="Times New Roman"/>
          <w:lang w:eastAsia="en-AU"/>
        </w:rPr>
        <w:t>south</w:t>
      </w:r>
      <w:r w:rsidR="0074029A">
        <w:rPr>
          <w:rFonts w:hAnsi="Times New Roman"/>
          <w:lang w:eastAsia="en-AU"/>
        </w:rPr>
        <w:t>ern</w:t>
      </w:r>
      <w:r>
        <w:rPr>
          <w:rFonts w:hAnsi="Times New Roman"/>
          <w:lang w:eastAsia="en-AU"/>
        </w:rPr>
        <w:t xml:space="preserve"> gabled (office) bay </w:t>
      </w:r>
      <w:r w:rsidR="00C51B44">
        <w:rPr>
          <w:rFonts w:hAnsi="Times New Roman"/>
          <w:lang w:eastAsia="en-AU"/>
        </w:rPr>
        <w:t>of B4</w:t>
      </w:r>
      <w:r>
        <w:rPr>
          <w:rFonts w:hAnsi="Times New Roman"/>
          <w:lang w:eastAsia="en-AU"/>
        </w:rPr>
        <w:t xml:space="preserve"> and removal of </w:t>
      </w:r>
      <w:r w:rsidR="0074029A">
        <w:rPr>
          <w:rFonts w:hAnsi="Times New Roman"/>
          <w:lang w:eastAsia="en-AU"/>
        </w:rPr>
        <w:t xml:space="preserve">service </w:t>
      </w:r>
      <w:r>
        <w:rPr>
          <w:rFonts w:hAnsi="Times New Roman"/>
          <w:lang w:eastAsia="en-AU"/>
        </w:rPr>
        <w:t>elements from the building</w:t>
      </w:r>
      <w:r w:rsidR="00BE2260">
        <w:rPr>
          <w:rFonts w:hAnsi="Times New Roman"/>
          <w:lang w:eastAsia="en-AU"/>
        </w:rPr>
        <w:t>’s</w:t>
      </w:r>
      <w:r>
        <w:rPr>
          <w:rFonts w:hAnsi="Times New Roman"/>
          <w:lang w:eastAsia="en-AU"/>
        </w:rPr>
        <w:t xml:space="preserve"> </w:t>
      </w:r>
      <w:r w:rsidR="0074029A">
        <w:rPr>
          <w:rFonts w:hAnsi="Times New Roman"/>
          <w:lang w:eastAsia="en-AU"/>
        </w:rPr>
        <w:t>exterior</w:t>
      </w:r>
      <w:r>
        <w:rPr>
          <w:rFonts w:hAnsi="Times New Roman"/>
          <w:lang w:eastAsia="en-AU"/>
        </w:rPr>
        <w:t xml:space="preserve">, including </w:t>
      </w:r>
      <w:r w:rsidR="00BE2260">
        <w:rPr>
          <w:rFonts w:hAnsi="Times New Roman"/>
          <w:lang w:eastAsia="en-AU"/>
        </w:rPr>
        <w:t>its</w:t>
      </w:r>
      <w:r>
        <w:rPr>
          <w:rFonts w:hAnsi="Times New Roman"/>
          <w:lang w:eastAsia="en-AU"/>
        </w:rPr>
        <w:t xml:space="preserve"> east</w:t>
      </w:r>
      <w:r w:rsidR="00BE2260">
        <w:rPr>
          <w:rFonts w:hAnsi="Times New Roman"/>
          <w:lang w:eastAsia="en-AU"/>
        </w:rPr>
        <w:t>ern</w:t>
      </w:r>
      <w:r>
        <w:rPr>
          <w:rFonts w:hAnsi="Times New Roman"/>
          <w:lang w:eastAsia="en-AU"/>
        </w:rPr>
        <w:t xml:space="preserve"> elevation</w:t>
      </w:r>
      <w:r w:rsidR="00C51B44">
        <w:rPr>
          <w:rFonts w:hAnsi="Times New Roman"/>
          <w:lang w:eastAsia="en-AU"/>
        </w:rPr>
        <w:t>.</w:t>
      </w:r>
    </w:p>
    <w:p w14:paraId="6BD2E0EC" w14:textId="77777777" w:rsidR="00CF28DC" w:rsidRPr="00CF28DC" w:rsidRDefault="00CF28DC" w:rsidP="009E7748">
      <w:pPr>
        <w:pStyle w:val="Para1"/>
        <w:numPr>
          <w:ilvl w:val="0"/>
          <w:numId w:val="10"/>
        </w:numPr>
        <w:spacing w:line="240" w:lineRule="auto"/>
        <w:rPr>
          <w:rFonts w:hAnsi="Times New Roman" w:cs="Times New Roman"/>
        </w:rPr>
      </w:pPr>
      <w:r>
        <w:rPr>
          <w:rFonts w:hAnsi="Times New Roman"/>
          <w:lang w:eastAsia="en-AU"/>
        </w:rPr>
        <w:t>Removal of various elements from the east</w:t>
      </w:r>
      <w:r w:rsidR="0074029A">
        <w:rPr>
          <w:rFonts w:hAnsi="Times New Roman"/>
          <w:lang w:eastAsia="en-AU"/>
        </w:rPr>
        <w:t>ern</w:t>
      </w:r>
      <w:r>
        <w:rPr>
          <w:rFonts w:hAnsi="Times New Roman"/>
          <w:lang w:eastAsia="en-AU"/>
        </w:rPr>
        <w:t xml:space="preserve"> end of the </w:t>
      </w:r>
      <w:r w:rsidR="00DB4EF5">
        <w:rPr>
          <w:rFonts w:hAnsi="Times New Roman"/>
          <w:lang w:eastAsia="en-AU"/>
        </w:rPr>
        <w:t>Place</w:t>
      </w:r>
      <w:r>
        <w:rPr>
          <w:rFonts w:hAnsi="Times New Roman"/>
          <w:lang w:eastAsia="en-AU"/>
        </w:rPr>
        <w:t xml:space="preserve"> including modern piping, plant, minor structures/additions and other extraneous elements.</w:t>
      </w:r>
    </w:p>
    <w:p w14:paraId="140BA789" w14:textId="77777777" w:rsidR="00CF28DC" w:rsidRPr="00C51B44" w:rsidRDefault="00CF28DC" w:rsidP="009E7748">
      <w:pPr>
        <w:pStyle w:val="Para1"/>
        <w:numPr>
          <w:ilvl w:val="0"/>
          <w:numId w:val="10"/>
        </w:numPr>
        <w:spacing w:line="240" w:lineRule="auto"/>
        <w:rPr>
          <w:rFonts w:hAnsi="Times New Roman" w:cs="Times New Roman"/>
        </w:rPr>
      </w:pPr>
      <w:r>
        <w:rPr>
          <w:rFonts w:hAnsi="Times New Roman"/>
          <w:lang w:eastAsia="en-AU"/>
        </w:rPr>
        <w:t xml:space="preserve">Landscape works to the </w:t>
      </w:r>
      <w:r w:rsidR="005B6AB8">
        <w:rPr>
          <w:rFonts w:hAnsi="Times New Roman"/>
          <w:lang w:eastAsia="en-AU"/>
        </w:rPr>
        <w:t>open spaces and laneways of the Stage 1 works area.</w:t>
      </w:r>
    </w:p>
    <w:p w14:paraId="1E26F888" w14:textId="77777777" w:rsidR="0077245D" w:rsidRPr="0077245D" w:rsidRDefault="002331CF" w:rsidP="009E7748">
      <w:pPr>
        <w:pStyle w:val="Para1"/>
        <w:numPr>
          <w:ilvl w:val="0"/>
          <w:numId w:val="8"/>
        </w:numPr>
        <w:spacing w:line="240" w:lineRule="auto"/>
        <w:ind w:left="567" w:hanging="567"/>
        <w:rPr>
          <w:rFonts w:hAnsi="Times New Roman" w:cs="Times New Roman"/>
        </w:rPr>
      </w:pPr>
      <w:r>
        <w:rPr>
          <w:rFonts w:hAnsi="Times New Roman"/>
          <w:lang w:eastAsia="en-AU"/>
        </w:rPr>
        <w:t xml:space="preserve">For the purposes of the Committee’s consideration of the appeal, </w:t>
      </w:r>
      <w:r w:rsidR="004D653A">
        <w:rPr>
          <w:rFonts w:hAnsi="Times New Roman"/>
          <w:lang w:eastAsia="en-AU"/>
        </w:rPr>
        <w:t>the amended plans</w:t>
      </w:r>
      <w:r w:rsidR="001F4A65" w:rsidRPr="00A323BA">
        <w:rPr>
          <w:rFonts w:hAnsi="Times New Roman"/>
          <w:lang w:eastAsia="en-AU"/>
        </w:rPr>
        <w:t xml:space="preserve"> </w:t>
      </w:r>
      <w:r w:rsidR="00BA3FF9">
        <w:rPr>
          <w:rFonts w:hAnsi="Times New Roman"/>
          <w:lang w:eastAsia="en-AU"/>
        </w:rPr>
        <w:t xml:space="preserve">have </w:t>
      </w:r>
      <w:r w:rsidR="001F4A65" w:rsidRPr="00A323BA">
        <w:rPr>
          <w:rFonts w:hAnsi="Times New Roman"/>
          <w:lang w:eastAsia="en-AU"/>
        </w:rPr>
        <w:t>supersede</w:t>
      </w:r>
      <w:r w:rsidR="00BA3FF9">
        <w:rPr>
          <w:rFonts w:hAnsi="Times New Roman"/>
          <w:lang w:eastAsia="en-AU"/>
        </w:rPr>
        <w:t>d</w:t>
      </w:r>
      <w:r w:rsidR="001F4A65" w:rsidRPr="00A323BA">
        <w:rPr>
          <w:rFonts w:hAnsi="Times New Roman"/>
          <w:lang w:eastAsia="en-AU"/>
        </w:rPr>
        <w:t xml:space="preserve"> t</w:t>
      </w:r>
      <w:r w:rsidR="004C5020">
        <w:rPr>
          <w:rFonts w:hAnsi="Times New Roman"/>
          <w:lang w:eastAsia="en-AU"/>
        </w:rPr>
        <w:t>hose provided with the A</w:t>
      </w:r>
      <w:r w:rsidR="001F4A65" w:rsidRPr="00A323BA">
        <w:rPr>
          <w:rFonts w:hAnsi="Times New Roman"/>
          <w:lang w:eastAsia="en-AU"/>
        </w:rPr>
        <w:t>pplication.</w:t>
      </w:r>
      <w:r w:rsidR="00A323BA" w:rsidRPr="00A323BA">
        <w:rPr>
          <w:rFonts w:hAnsi="Times New Roman"/>
          <w:lang w:eastAsia="en-AU"/>
        </w:rPr>
        <w:t xml:space="preserve"> </w:t>
      </w:r>
      <w:r w:rsidR="00EA4631">
        <w:rPr>
          <w:rFonts w:hAnsi="Times New Roman"/>
          <w:lang w:eastAsia="en-AU"/>
        </w:rPr>
        <w:t>W</w:t>
      </w:r>
      <w:r w:rsidR="00EA4631" w:rsidRPr="00EA4631">
        <w:rPr>
          <w:rFonts w:hAnsi="Times New Roman"/>
          <w:lang w:eastAsia="en-AU"/>
        </w:rPr>
        <w:t>here reference is made to ‘the proposed works’</w:t>
      </w:r>
      <w:r w:rsidR="00AF5E19">
        <w:rPr>
          <w:rFonts w:hAnsi="Times New Roman"/>
          <w:lang w:eastAsia="en-AU"/>
        </w:rPr>
        <w:t xml:space="preserve"> </w:t>
      </w:r>
      <w:r w:rsidR="0074029A">
        <w:rPr>
          <w:rFonts w:hAnsi="Times New Roman"/>
          <w:lang w:eastAsia="en-AU"/>
        </w:rPr>
        <w:t xml:space="preserve">later </w:t>
      </w:r>
      <w:r w:rsidR="00EA4631">
        <w:rPr>
          <w:rFonts w:hAnsi="Times New Roman"/>
          <w:lang w:eastAsia="en-AU"/>
        </w:rPr>
        <w:t>in this decision document</w:t>
      </w:r>
      <w:r w:rsidR="00EA4631" w:rsidRPr="00EA4631">
        <w:rPr>
          <w:rFonts w:hAnsi="Times New Roman"/>
          <w:lang w:eastAsia="en-AU"/>
        </w:rPr>
        <w:t xml:space="preserve">, </w:t>
      </w:r>
      <w:r w:rsidR="0074029A">
        <w:rPr>
          <w:rFonts w:hAnsi="Times New Roman"/>
          <w:lang w:eastAsia="en-AU"/>
        </w:rPr>
        <w:t xml:space="preserve">it is </w:t>
      </w:r>
      <w:r w:rsidR="002013BB">
        <w:rPr>
          <w:rFonts w:hAnsi="Times New Roman"/>
          <w:lang w:eastAsia="en-AU"/>
        </w:rPr>
        <w:t xml:space="preserve">a </w:t>
      </w:r>
      <w:r w:rsidR="0074029A">
        <w:rPr>
          <w:rFonts w:hAnsi="Times New Roman"/>
          <w:lang w:eastAsia="en-AU"/>
        </w:rPr>
        <w:t>reference</w:t>
      </w:r>
      <w:r w:rsidR="005B0D15">
        <w:rPr>
          <w:rFonts w:hAnsi="Times New Roman"/>
          <w:lang w:eastAsia="en-AU"/>
        </w:rPr>
        <w:t xml:space="preserve"> to the</w:t>
      </w:r>
      <w:r w:rsidR="00057FE4">
        <w:rPr>
          <w:rFonts w:hAnsi="Times New Roman"/>
          <w:lang w:eastAsia="en-AU"/>
        </w:rPr>
        <w:t xml:space="preserve"> proposed</w:t>
      </w:r>
      <w:r w:rsidR="005B0D15">
        <w:rPr>
          <w:rFonts w:hAnsi="Times New Roman"/>
          <w:lang w:eastAsia="en-AU"/>
        </w:rPr>
        <w:t xml:space="preserve"> works </w:t>
      </w:r>
      <w:r w:rsidR="00BA3FF9">
        <w:rPr>
          <w:rFonts w:hAnsi="Times New Roman"/>
          <w:lang w:eastAsia="en-AU"/>
        </w:rPr>
        <w:t xml:space="preserve">shown on </w:t>
      </w:r>
      <w:r w:rsidR="004D653A">
        <w:rPr>
          <w:rFonts w:hAnsi="Times New Roman"/>
          <w:lang w:eastAsia="en-AU"/>
        </w:rPr>
        <w:t>the amended plans</w:t>
      </w:r>
      <w:r w:rsidR="00BA3FF9">
        <w:rPr>
          <w:rFonts w:hAnsi="Times New Roman"/>
          <w:lang w:eastAsia="en-AU"/>
        </w:rPr>
        <w:t xml:space="preserve"> </w:t>
      </w:r>
      <w:r w:rsidR="00CB5719">
        <w:rPr>
          <w:rFonts w:hAnsi="Times New Roman"/>
          <w:lang w:eastAsia="en-AU"/>
        </w:rPr>
        <w:t xml:space="preserve">as </w:t>
      </w:r>
      <w:r w:rsidR="005B0D15">
        <w:rPr>
          <w:rFonts w:hAnsi="Times New Roman"/>
          <w:lang w:eastAsia="en-AU"/>
        </w:rPr>
        <w:t>described</w:t>
      </w:r>
      <w:r w:rsidR="00CB5719">
        <w:rPr>
          <w:rFonts w:hAnsi="Times New Roman"/>
          <w:lang w:eastAsia="en-AU"/>
        </w:rPr>
        <w:t xml:space="preserve"> above</w:t>
      </w:r>
      <w:r w:rsidR="00BA3FF9">
        <w:rPr>
          <w:rFonts w:hAnsi="Times New Roman"/>
          <w:lang w:eastAsia="en-AU"/>
        </w:rPr>
        <w:t>.</w:t>
      </w:r>
    </w:p>
    <w:p w14:paraId="58193100" w14:textId="77777777" w:rsidR="00DF496E" w:rsidRPr="00D245FA" w:rsidRDefault="00D245FA" w:rsidP="009E7748">
      <w:pPr>
        <w:pStyle w:val="Para1"/>
        <w:numPr>
          <w:ilvl w:val="0"/>
          <w:numId w:val="0"/>
        </w:numPr>
        <w:tabs>
          <w:tab w:val="left" w:pos="426"/>
        </w:tabs>
        <w:spacing w:line="240" w:lineRule="auto"/>
        <w:rPr>
          <w:rFonts w:hAnsi="Times New Roman" w:cs="Times New Roman"/>
          <w:i/>
        </w:rPr>
      </w:pPr>
      <w:r>
        <w:rPr>
          <w:rFonts w:hAnsi="Times New Roman" w:cs="Times New Roman"/>
          <w:i/>
        </w:rPr>
        <w:t>Addition of a party to the h</w:t>
      </w:r>
      <w:r w:rsidRPr="00D245FA">
        <w:rPr>
          <w:rFonts w:hAnsi="Times New Roman" w:cs="Times New Roman"/>
          <w:i/>
        </w:rPr>
        <w:t>earing</w:t>
      </w:r>
    </w:p>
    <w:p w14:paraId="5979C4A9" w14:textId="77777777" w:rsidR="004F4807" w:rsidRPr="00DA038A" w:rsidRDefault="006935E8" w:rsidP="009E7748">
      <w:pPr>
        <w:pStyle w:val="Para1"/>
        <w:numPr>
          <w:ilvl w:val="0"/>
          <w:numId w:val="8"/>
        </w:numPr>
        <w:spacing w:line="240" w:lineRule="auto"/>
        <w:ind w:left="567" w:hanging="567"/>
        <w:rPr>
          <w:rFonts w:hAnsi="Times New Roman" w:cs="Times New Roman"/>
        </w:rPr>
      </w:pPr>
      <w:r>
        <w:rPr>
          <w:rFonts w:hAnsi="Times New Roman" w:cs="Times New Roman"/>
        </w:rPr>
        <w:t>A</w:t>
      </w:r>
      <w:r w:rsidR="00A57FFA">
        <w:rPr>
          <w:rFonts w:hAnsi="Times New Roman" w:cs="Times New Roman"/>
        </w:rPr>
        <w:t xml:space="preserve"> request </w:t>
      </w:r>
      <w:r w:rsidR="008F0CBD">
        <w:rPr>
          <w:rFonts w:hAnsi="Times New Roman" w:cs="Times New Roman"/>
        </w:rPr>
        <w:t xml:space="preserve">in writing was received from </w:t>
      </w:r>
      <w:r w:rsidR="000801B1">
        <w:rPr>
          <w:rFonts w:hAnsi="Times New Roman" w:cs="Times New Roman"/>
        </w:rPr>
        <w:t>Mr Michael Coffey</w:t>
      </w:r>
      <w:r w:rsidR="00A57FFA">
        <w:rPr>
          <w:rFonts w:hAnsi="Times New Roman" w:cs="Times New Roman"/>
        </w:rPr>
        <w:t xml:space="preserve"> requesting to be added as a party to the hearing </w:t>
      </w:r>
      <w:r w:rsidR="000801B1">
        <w:rPr>
          <w:rFonts w:hAnsi="Times New Roman" w:cs="Times New Roman"/>
        </w:rPr>
        <w:t>as a representative of the</w:t>
      </w:r>
      <w:r w:rsidR="00EE1331">
        <w:rPr>
          <w:rFonts w:hAnsi="Times New Roman" w:cs="Times New Roman"/>
        </w:rPr>
        <w:t xml:space="preserve"> neighbouring</w:t>
      </w:r>
      <w:r w:rsidR="000801B1">
        <w:rPr>
          <w:rFonts w:hAnsi="Times New Roman" w:cs="Times New Roman"/>
        </w:rPr>
        <w:t xml:space="preserve"> ERA apartments owners</w:t>
      </w:r>
      <w:r w:rsidR="00BA3FF9">
        <w:rPr>
          <w:rFonts w:hAnsi="Times New Roman" w:cs="Times New Roman"/>
        </w:rPr>
        <w:t xml:space="preserve">’ </w:t>
      </w:r>
      <w:r w:rsidR="000801B1">
        <w:rPr>
          <w:rFonts w:hAnsi="Times New Roman" w:cs="Times New Roman"/>
        </w:rPr>
        <w:t>corporation</w:t>
      </w:r>
      <w:r w:rsidR="008E7ACA">
        <w:rPr>
          <w:rFonts w:hAnsi="Times New Roman" w:cs="Times New Roman"/>
        </w:rPr>
        <w:t>,</w:t>
      </w:r>
      <w:r w:rsidR="000801B1">
        <w:rPr>
          <w:rFonts w:hAnsi="Times New Roman" w:cs="Times New Roman"/>
        </w:rPr>
        <w:t xml:space="preserve"> </w:t>
      </w:r>
      <w:r w:rsidR="00A57FFA">
        <w:rPr>
          <w:rFonts w:hAnsi="Times New Roman" w:cs="Times New Roman"/>
        </w:rPr>
        <w:t xml:space="preserve">and requesting to be heard in relation to this </w:t>
      </w:r>
      <w:r w:rsidR="00A15164">
        <w:rPr>
          <w:rFonts w:hAnsi="Times New Roman" w:cs="Times New Roman"/>
        </w:rPr>
        <w:t>appeal</w:t>
      </w:r>
      <w:r w:rsidR="00A57FFA">
        <w:rPr>
          <w:rFonts w:hAnsi="Times New Roman" w:cs="Times New Roman"/>
        </w:rPr>
        <w:t>.</w:t>
      </w:r>
      <w:r w:rsidR="00AA419A">
        <w:rPr>
          <w:rFonts w:hAnsi="Times New Roman" w:cs="Times New Roman"/>
        </w:rPr>
        <w:t xml:space="preserve"> </w:t>
      </w:r>
      <w:r w:rsidR="00BA466A" w:rsidRPr="00AA419A">
        <w:rPr>
          <w:rFonts w:hAnsi="Times New Roman" w:cs="Times New Roman"/>
        </w:rPr>
        <w:t xml:space="preserve">After considering the request from </w:t>
      </w:r>
      <w:r w:rsidR="000801B1">
        <w:rPr>
          <w:rFonts w:hAnsi="Times New Roman" w:cs="Times New Roman"/>
        </w:rPr>
        <w:t>Mr Coffey</w:t>
      </w:r>
      <w:r w:rsidR="00BA466A" w:rsidRPr="00AA419A">
        <w:rPr>
          <w:rFonts w:hAnsi="Times New Roman" w:cs="Times New Roman"/>
        </w:rPr>
        <w:t xml:space="preserve">, the Committee determined that </w:t>
      </w:r>
      <w:r w:rsidR="000801B1">
        <w:rPr>
          <w:rFonts w:hAnsi="Times New Roman" w:cs="Times New Roman"/>
        </w:rPr>
        <w:t>Mr Coffey</w:t>
      </w:r>
      <w:r w:rsidR="00BA466A" w:rsidRPr="00AA419A">
        <w:rPr>
          <w:rFonts w:hAnsi="Times New Roman" w:cs="Times New Roman"/>
        </w:rPr>
        <w:t xml:space="preserve"> had a </w:t>
      </w:r>
      <w:r w:rsidR="004512E6" w:rsidRPr="00AA419A">
        <w:rPr>
          <w:rFonts w:hAnsi="Times New Roman" w:cs="Times New Roman"/>
        </w:rPr>
        <w:t>real and sub</w:t>
      </w:r>
      <w:r w:rsidR="00EE1331">
        <w:rPr>
          <w:rFonts w:hAnsi="Times New Roman" w:cs="Times New Roman"/>
        </w:rPr>
        <w:t>stantial interest in the Place</w:t>
      </w:r>
      <w:r w:rsidR="004512E6" w:rsidRPr="00AA419A">
        <w:rPr>
          <w:rFonts w:hAnsi="Times New Roman" w:cs="Times New Roman"/>
        </w:rPr>
        <w:t xml:space="preserve">, </w:t>
      </w:r>
      <w:r w:rsidR="003B2418" w:rsidRPr="00AA419A">
        <w:rPr>
          <w:rFonts w:hAnsi="Times New Roman" w:cs="Times New Roman"/>
        </w:rPr>
        <w:t xml:space="preserve">and </w:t>
      </w:r>
      <w:r w:rsidR="007165E3" w:rsidRPr="00AA419A">
        <w:rPr>
          <w:rFonts w:hAnsi="Times New Roman" w:cs="Times New Roman"/>
        </w:rPr>
        <w:t xml:space="preserve">agreed that </w:t>
      </w:r>
      <w:r w:rsidR="000801B1">
        <w:rPr>
          <w:rFonts w:hAnsi="Times New Roman" w:cs="Times New Roman"/>
        </w:rPr>
        <w:t>Mr Coffey</w:t>
      </w:r>
      <w:r w:rsidR="007165E3" w:rsidRPr="00AA419A">
        <w:rPr>
          <w:rFonts w:hAnsi="Times New Roman" w:cs="Times New Roman"/>
        </w:rPr>
        <w:t xml:space="preserve"> should</w:t>
      </w:r>
      <w:r w:rsidR="003B2418" w:rsidRPr="00AA419A">
        <w:rPr>
          <w:rFonts w:hAnsi="Times New Roman" w:cs="Times New Roman"/>
        </w:rPr>
        <w:t xml:space="preserve"> be invited to make written </w:t>
      </w:r>
      <w:r w:rsidR="003B2418" w:rsidRPr="00DA038A">
        <w:rPr>
          <w:rFonts w:hAnsi="Times New Roman" w:cs="Times New Roman"/>
        </w:rPr>
        <w:t>submissions and be heard at the hearing.</w:t>
      </w:r>
      <w:r w:rsidR="00BA466A" w:rsidRPr="00DA038A">
        <w:rPr>
          <w:rFonts w:hAnsi="Times New Roman" w:cs="Times New Roman"/>
        </w:rPr>
        <w:t xml:space="preserve"> </w:t>
      </w:r>
      <w:r w:rsidR="002409CD" w:rsidRPr="00DA038A">
        <w:rPr>
          <w:rFonts w:hAnsi="Times New Roman" w:cs="Times New Roman"/>
        </w:rPr>
        <w:t xml:space="preserve">Other parties were notified </w:t>
      </w:r>
      <w:r w:rsidR="009550C8">
        <w:rPr>
          <w:rFonts w:hAnsi="Times New Roman" w:cs="Times New Roman"/>
        </w:rPr>
        <w:t>of this, were</w:t>
      </w:r>
      <w:r w:rsidR="00D36D90" w:rsidRPr="00DA038A">
        <w:rPr>
          <w:rFonts w:hAnsi="Times New Roman" w:cs="Times New Roman"/>
        </w:rPr>
        <w:t xml:space="preserve"> provided with </w:t>
      </w:r>
      <w:r w:rsidR="000801B1">
        <w:rPr>
          <w:rFonts w:hAnsi="Times New Roman" w:cs="Times New Roman"/>
        </w:rPr>
        <w:t>Mr Coffey’s</w:t>
      </w:r>
      <w:r w:rsidR="00D36D90" w:rsidRPr="00DA038A">
        <w:rPr>
          <w:rFonts w:hAnsi="Times New Roman" w:cs="Times New Roman"/>
        </w:rPr>
        <w:t xml:space="preserve"> written submission</w:t>
      </w:r>
      <w:r w:rsidR="000801B1">
        <w:rPr>
          <w:rFonts w:hAnsi="Times New Roman" w:cs="Times New Roman"/>
        </w:rPr>
        <w:t>s</w:t>
      </w:r>
      <w:r w:rsidR="009550C8">
        <w:rPr>
          <w:rFonts w:hAnsi="Times New Roman" w:cs="Times New Roman"/>
        </w:rPr>
        <w:t xml:space="preserve"> and</w:t>
      </w:r>
      <w:r w:rsidR="00823819" w:rsidRPr="00DA038A">
        <w:rPr>
          <w:rFonts w:hAnsi="Times New Roman" w:cs="Times New Roman"/>
        </w:rPr>
        <w:t xml:space="preserve"> </w:t>
      </w:r>
      <w:r w:rsidR="002409CD" w:rsidRPr="00DA038A">
        <w:rPr>
          <w:rFonts w:hAnsi="Times New Roman" w:cs="Times New Roman"/>
        </w:rPr>
        <w:t>were able t</w:t>
      </w:r>
      <w:r w:rsidR="00B96ED0" w:rsidRPr="00DA038A">
        <w:rPr>
          <w:rFonts w:hAnsi="Times New Roman" w:cs="Times New Roman"/>
        </w:rPr>
        <w:t>o reply</w:t>
      </w:r>
      <w:r w:rsidR="00823819" w:rsidRPr="00DA038A">
        <w:rPr>
          <w:rFonts w:hAnsi="Times New Roman" w:cs="Times New Roman"/>
        </w:rPr>
        <w:t xml:space="preserve"> in writing</w:t>
      </w:r>
      <w:r w:rsidR="000801B1">
        <w:rPr>
          <w:rFonts w:hAnsi="Times New Roman" w:cs="Times New Roman"/>
        </w:rPr>
        <w:t xml:space="preserve"> </w:t>
      </w:r>
      <w:r w:rsidR="00823819" w:rsidRPr="00DA038A">
        <w:rPr>
          <w:rFonts w:hAnsi="Times New Roman" w:cs="Times New Roman"/>
        </w:rPr>
        <w:t>and make verbal submissions accordingly</w:t>
      </w:r>
      <w:r w:rsidR="0092092A" w:rsidRPr="00DA038A">
        <w:rPr>
          <w:rFonts w:hAnsi="Times New Roman" w:cs="Times New Roman"/>
        </w:rPr>
        <w:t>.</w:t>
      </w:r>
    </w:p>
    <w:p w14:paraId="2F7A644F" w14:textId="77777777" w:rsidR="00AB503D" w:rsidRDefault="005C758C" w:rsidP="009E7748">
      <w:pPr>
        <w:pStyle w:val="Para1"/>
        <w:numPr>
          <w:ilvl w:val="0"/>
          <w:numId w:val="0"/>
        </w:numPr>
        <w:tabs>
          <w:tab w:val="left" w:pos="426"/>
        </w:tabs>
        <w:spacing w:line="240" w:lineRule="auto"/>
        <w:rPr>
          <w:rFonts w:hAnsi="Times New Roman" w:cs="Times New Roman"/>
          <w:i/>
        </w:rPr>
      </w:pPr>
      <w:r>
        <w:rPr>
          <w:rFonts w:hAnsi="Times New Roman" w:cs="Times New Roman"/>
          <w:i/>
        </w:rPr>
        <w:t>Decision making context</w:t>
      </w:r>
    </w:p>
    <w:p w14:paraId="0566E72C" w14:textId="77777777" w:rsidR="005C758C" w:rsidRDefault="00E67693" w:rsidP="009D0C8B">
      <w:pPr>
        <w:pStyle w:val="ListParagraph"/>
        <w:numPr>
          <w:ilvl w:val="0"/>
          <w:numId w:val="8"/>
        </w:numPr>
        <w:tabs>
          <w:tab w:val="left" w:pos="567"/>
        </w:tabs>
        <w:spacing w:before="120" w:after="120"/>
        <w:ind w:left="567" w:hanging="567"/>
        <w:jc w:val="both"/>
        <w:rPr>
          <w:lang w:eastAsia="en-AU"/>
        </w:rPr>
      </w:pPr>
      <w:r>
        <w:rPr>
          <w:lang w:eastAsia="en-AU"/>
        </w:rPr>
        <w:t xml:space="preserve">The Committee has </w:t>
      </w:r>
      <w:r w:rsidR="005C758C">
        <w:rPr>
          <w:lang w:eastAsia="en-AU"/>
        </w:rPr>
        <w:t xml:space="preserve">made this decision within the context of the </w:t>
      </w:r>
      <w:r>
        <w:rPr>
          <w:lang w:eastAsia="en-AU"/>
        </w:rPr>
        <w:t xml:space="preserve">mandatory </w:t>
      </w:r>
      <w:r w:rsidR="005C758C">
        <w:rPr>
          <w:lang w:eastAsia="en-AU"/>
        </w:rPr>
        <w:t xml:space="preserve">and discretionary </w:t>
      </w:r>
      <w:r>
        <w:rPr>
          <w:lang w:eastAsia="en-AU"/>
        </w:rPr>
        <w:t xml:space="preserve">considerations </w:t>
      </w:r>
      <w:r w:rsidR="005C758C">
        <w:rPr>
          <w:lang w:eastAsia="en-AU"/>
        </w:rPr>
        <w:t xml:space="preserve">set out in </w:t>
      </w:r>
      <w:r>
        <w:rPr>
          <w:lang w:eastAsia="en-AU"/>
        </w:rPr>
        <w:t>s73 of the Act</w:t>
      </w:r>
      <w:r w:rsidR="0074029A">
        <w:rPr>
          <w:lang w:eastAsia="en-AU"/>
        </w:rPr>
        <w:t xml:space="preserve"> (see attachment).</w:t>
      </w:r>
    </w:p>
    <w:p w14:paraId="57BF2680" w14:textId="77777777" w:rsidR="00A8356D" w:rsidRDefault="00A8356D" w:rsidP="009D0C8B">
      <w:pPr>
        <w:pStyle w:val="Para1"/>
        <w:numPr>
          <w:ilvl w:val="0"/>
          <w:numId w:val="8"/>
        </w:numPr>
        <w:spacing w:before="120" w:line="240" w:lineRule="auto"/>
        <w:ind w:left="567" w:hanging="567"/>
        <w:rPr>
          <w:rFonts w:hAnsi="Times New Roman" w:cs="Times New Roman"/>
        </w:rPr>
      </w:pPr>
      <w:r>
        <w:rPr>
          <w:rFonts w:hAnsi="Times New Roman" w:cs="Times New Roman"/>
        </w:rPr>
        <w:t xml:space="preserve">With respect to </w:t>
      </w:r>
      <w:r w:rsidR="0074029A">
        <w:rPr>
          <w:rFonts w:hAnsi="Times New Roman" w:cs="Times New Roman"/>
        </w:rPr>
        <w:t xml:space="preserve">the </w:t>
      </w:r>
      <w:r w:rsidR="000861F8">
        <w:rPr>
          <w:rFonts w:hAnsi="Times New Roman" w:cs="Times New Roman"/>
        </w:rPr>
        <w:t xml:space="preserve">mandatory considerations under </w:t>
      </w:r>
      <w:r>
        <w:rPr>
          <w:rFonts w:hAnsi="Times New Roman" w:cs="Times New Roman"/>
        </w:rPr>
        <w:t xml:space="preserve">s73(1)(a), the Committee records that all parties agreed that, in considering the </w:t>
      </w:r>
      <w:r w:rsidR="000861F8">
        <w:rPr>
          <w:rFonts w:hAnsi="Times New Roman" w:cs="Times New Roman"/>
        </w:rPr>
        <w:t xml:space="preserve">effect of the </w:t>
      </w:r>
      <w:r>
        <w:rPr>
          <w:rFonts w:hAnsi="Times New Roman" w:cs="Times New Roman"/>
        </w:rPr>
        <w:t>proposed works, the Committee should consider the</w:t>
      </w:r>
      <w:r w:rsidR="000861F8">
        <w:rPr>
          <w:rFonts w:hAnsi="Times New Roman" w:cs="Times New Roman"/>
        </w:rPr>
        <w:t>ir</w:t>
      </w:r>
      <w:r>
        <w:rPr>
          <w:rFonts w:hAnsi="Times New Roman" w:cs="Times New Roman"/>
        </w:rPr>
        <w:t xml:space="preserve"> impact on the cultural heritage s</w:t>
      </w:r>
      <w:r w:rsidR="000861F8">
        <w:rPr>
          <w:rFonts w:hAnsi="Times New Roman" w:cs="Times New Roman"/>
        </w:rPr>
        <w:t xml:space="preserve">ignificance of Place as a whole not merely that part of the </w:t>
      </w:r>
      <w:r w:rsidR="00E7288E">
        <w:rPr>
          <w:rFonts w:hAnsi="Times New Roman" w:cs="Times New Roman"/>
        </w:rPr>
        <w:t>Place</w:t>
      </w:r>
      <w:r w:rsidR="000861F8">
        <w:rPr>
          <w:rFonts w:hAnsi="Times New Roman" w:cs="Times New Roman"/>
        </w:rPr>
        <w:t xml:space="preserve"> directly affected by the </w:t>
      </w:r>
      <w:r w:rsidR="00E7288E">
        <w:rPr>
          <w:rFonts w:hAnsi="Times New Roman" w:cs="Times New Roman"/>
        </w:rPr>
        <w:t xml:space="preserve">proposed </w:t>
      </w:r>
      <w:r w:rsidR="0074029A">
        <w:rPr>
          <w:rFonts w:hAnsi="Times New Roman" w:cs="Times New Roman"/>
        </w:rPr>
        <w:t xml:space="preserve">Stage 1 </w:t>
      </w:r>
      <w:r w:rsidR="00E7288E">
        <w:rPr>
          <w:rFonts w:hAnsi="Times New Roman" w:cs="Times New Roman"/>
        </w:rPr>
        <w:t>works</w:t>
      </w:r>
      <w:r w:rsidR="000861F8">
        <w:rPr>
          <w:rFonts w:hAnsi="Times New Roman" w:cs="Times New Roman"/>
        </w:rPr>
        <w:t xml:space="preserve">. </w:t>
      </w:r>
    </w:p>
    <w:p w14:paraId="5B34DA16" w14:textId="77777777" w:rsidR="00A8356D" w:rsidRPr="005744EE" w:rsidRDefault="00A8356D" w:rsidP="001971C2">
      <w:pPr>
        <w:pStyle w:val="Para1"/>
        <w:numPr>
          <w:ilvl w:val="0"/>
          <w:numId w:val="8"/>
        </w:numPr>
        <w:spacing w:line="240" w:lineRule="auto"/>
        <w:ind w:left="567" w:hanging="567"/>
        <w:rPr>
          <w:rFonts w:hAnsi="Times New Roman" w:cs="Times New Roman"/>
        </w:rPr>
      </w:pPr>
      <w:r>
        <w:rPr>
          <w:rFonts w:hAnsi="Times New Roman" w:cs="Times New Roman"/>
        </w:rPr>
        <w:t xml:space="preserve">It was also </w:t>
      </w:r>
      <w:r w:rsidR="000861F8">
        <w:rPr>
          <w:rFonts w:hAnsi="Times New Roman" w:cs="Times New Roman"/>
        </w:rPr>
        <w:t>explicitly accepted</w:t>
      </w:r>
      <w:r>
        <w:rPr>
          <w:rFonts w:hAnsi="Times New Roman" w:cs="Times New Roman"/>
        </w:rPr>
        <w:t xml:space="preserve"> by the </w:t>
      </w:r>
      <w:r w:rsidR="00F54C01">
        <w:rPr>
          <w:rFonts w:hAnsi="Times New Roman" w:cs="Times New Roman"/>
        </w:rPr>
        <w:t>Appellant</w:t>
      </w:r>
      <w:r>
        <w:rPr>
          <w:rFonts w:hAnsi="Times New Roman" w:cs="Times New Roman"/>
        </w:rPr>
        <w:t xml:space="preserve"> that </w:t>
      </w:r>
      <w:r w:rsidR="000861F8">
        <w:rPr>
          <w:rFonts w:hAnsi="Times New Roman" w:cs="Times New Roman"/>
        </w:rPr>
        <w:t>even though</w:t>
      </w:r>
      <w:r>
        <w:rPr>
          <w:rFonts w:hAnsi="Times New Roman" w:cs="Times New Roman"/>
        </w:rPr>
        <w:t xml:space="preserve"> works to buildings B1, B2 and B3 (including demolition) were listed as permit exempt in the registration for the Place, the Committee could take into account the effects of the proposed demolition </w:t>
      </w:r>
      <w:r w:rsidR="000861F8">
        <w:rPr>
          <w:rFonts w:hAnsi="Times New Roman" w:cs="Times New Roman"/>
        </w:rPr>
        <w:t>of</w:t>
      </w:r>
      <w:r>
        <w:rPr>
          <w:rFonts w:hAnsi="Times New Roman" w:cs="Times New Roman"/>
        </w:rPr>
        <w:t xml:space="preserve"> those </w:t>
      </w:r>
      <w:r w:rsidR="000861F8">
        <w:rPr>
          <w:rFonts w:hAnsi="Times New Roman" w:cs="Times New Roman"/>
        </w:rPr>
        <w:t>elements</w:t>
      </w:r>
      <w:r>
        <w:rPr>
          <w:rFonts w:hAnsi="Times New Roman" w:cs="Times New Roman"/>
        </w:rPr>
        <w:t xml:space="preserve"> of the </w:t>
      </w:r>
      <w:r w:rsidR="00DB4EF5">
        <w:rPr>
          <w:rFonts w:hAnsi="Times New Roman" w:cs="Times New Roman"/>
        </w:rPr>
        <w:t>Place</w:t>
      </w:r>
      <w:r>
        <w:rPr>
          <w:rFonts w:hAnsi="Times New Roman" w:cs="Times New Roman"/>
        </w:rPr>
        <w:t xml:space="preserve"> in its consideration of the </w:t>
      </w:r>
      <w:r w:rsidR="006E46E7">
        <w:rPr>
          <w:rFonts w:hAnsi="Times New Roman" w:cs="Times New Roman"/>
        </w:rPr>
        <w:t>permit appeal</w:t>
      </w:r>
      <w:r>
        <w:rPr>
          <w:rFonts w:hAnsi="Times New Roman" w:cs="Times New Roman"/>
        </w:rPr>
        <w:t xml:space="preserve"> under s73(1)(a). </w:t>
      </w:r>
    </w:p>
    <w:p w14:paraId="159F52D0" w14:textId="77777777" w:rsidR="009B4B1B" w:rsidRDefault="005C758C" w:rsidP="001971C2">
      <w:pPr>
        <w:pStyle w:val="Para1"/>
        <w:numPr>
          <w:ilvl w:val="0"/>
          <w:numId w:val="8"/>
        </w:numPr>
        <w:spacing w:line="240" w:lineRule="auto"/>
        <w:ind w:left="567" w:hanging="567"/>
        <w:rPr>
          <w:rFonts w:hAnsi="Times New Roman" w:cs="Times New Roman"/>
        </w:rPr>
      </w:pPr>
      <w:r w:rsidRPr="008D7862">
        <w:rPr>
          <w:lang w:eastAsia="en-AU"/>
        </w:rPr>
        <w:t>With</w:t>
      </w:r>
      <w:r w:rsidR="00BA3FF9" w:rsidRPr="005744EE">
        <w:rPr>
          <w:rFonts w:hAnsi="Times New Roman" w:cs="Times New Roman"/>
        </w:rPr>
        <w:t xml:space="preserve"> respect</w:t>
      </w:r>
      <w:r w:rsidR="008D7862" w:rsidRPr="005744EE">
        <w:rPr>
          <w:rFonts w:hAnsi="Times New Roman" w:cs="Times New Roman"/>
        </w:rPr>
        <w:t xml:space="preserve"> to </w:t>
      </w:r>
      <w:r w:rsidR="0074029A">
        <w:rPr>
          <w:rFonts w:hAnsi="Times New Roman" w:cs="Times New Roman"/>
        </w:rPr>
        <w:t>other</w:t>
      </w:r>
      <w:r w:rsidR="0074029A" w:rsidRPr="005744EE">
        <w:rPr>
          <w:rFonts w:hAnsi="Times New Roman" w:cs="Times New Roman"/>
        </w:rPr>
        <w:t xml:space="preserve"> </w:t>
      </w:r>
      <w:r w:rsidRPr="005744EE">
        <w:rPr>
          <w:rFonts w:hAnsi="Times New Roman" w:cs="Times New Roman"/>
        </w:rPr>
        <w:t>considerations</w:t>
      </w:r>
      <w:r w:rsidR="0074029A">
        <w:rPr>
          <w:rFonts w:hAnsi="Times New Roman" w:cs="Times New Roman"/>
        </w:rPr>
        <w:t xml:space="preserve"> under s73(1)(f) and</w:t>
      </w:r>
      <w:r w:rsidR="00AE5ED9">
        <w:rPr>
          <w:rFonts w:hAnsi="Times New Roman" w:cs="Times New Roman"/>
        </w:rPr>
        <w:t xml:space="preserve"> also</w:t>
      </w:r>
      <w:r w:rsidR="0074029A">
        <w:rPr>
          <w:rFonts w:hAnsi="Times New Roman" w:cs="Times New Roman"/>
        </w:rPr>
        <w:t xml:space="preserve"> </w:t>
      </w:r>
      <w:r w:rsidR="00AE5ED9">
        <w:rPr>
          <w:rFonts w:hAnsi="Times New Roman" w:cs="Times New Roman"/>
        </w:rPr>
        <w:t>s</w:t>
      </w:r>
      <w:r w:rsidR="0074029A">
        <w:rPr>
          <w:rFonts w:hAnsi="Times New Roman" w:cs="Times New Roman"/>
        </w:rPr>
        <w:t>73(1A)(b)</w:t>
      </w:r>
      <w:r w:rsidR="00BA3FF9" w:rsidRPr="005744EE">
        <w:rPr>
          <w:rFonts w:hAnsi="Times New Roman" w:cs="Times New Roman"/>
        </w:rPr>
        <w:t xml:space="preserve">, some submissions and evidence referred to local planning scheme provisions and related documents in making arguments for and against the proposed works. </w:t>
      </w:r>
      <w:r w:rsidR="00AE725E">
        <w:rPr>
          <w:rFonts w:hAnsi="Times New Roman" w:cs="Times New Roman"/>
        </w:rPr>
        <w:t>T</w:t>
      </w:r>
      <w:r w:rsidR="00BA3FF9" w:rsidRPr="005744EE">
        <w:rPr>
          <w:rFonts w:hAnsi="Times New Roman" w:cs="Times New Roman"/>
        </w:rPr>
        <w:t xml:space="preserve">he Committee has not </w:t>
      </w:r>
      <w:r w:rsidR="000861F8">
        <w:rPr>
          <w:rFonts w:hAnsi="Times New Roman" w:cs="Times New Roman"/>
        </w:rPr>
        <w:t>found it necessary to refer</w:t>
      </w:r>
      <w:r w:rsidR="00BA3FF9" w:rsidRPr="005744EE">
        <w:rPr>
          <w:rFonts w:hAnsi="Times New Roman" w:cs="Times New Roman"/>
        </w:rPr>
        <w:t xml:space="preserve"> to local planning considerations in making its determination. </w:t>
      </w:r>
    </w:p>
    <w:p w14:paraId="1C38C0B8" w14:textId="77777777" w:rsidR="009B4B1B" w:rsidRPr="00502E20" w:rsidRDefault="009B4B1B" w:rsidP="001971C2">
      <w:pPr>
        <w:pStyle w:val="Para1"/>
        <w:numPr>
          <w:ilvl w:val="0"/>
          <w:numId w:val="8"/>
        </w:numPr>
        <w:spacing w:line="240" w:lineRule="auto"/>
        <w:ind w:left="567" w:hanging="567"/>
        <w:rPr>
          <w:rFonts w:hAnsi="Times New Roman" w:cs="Times New Roman"/>
        </w:rPr>
      </w:pPr>
      <w:r>
        <w:rPr>
          <w:lang w:eastAsia="en-AU"/>
        </w:rPr>
        <w:t>As noted earlier, there are a number of other decision making processes affecting this Place. They include a Stage 2 works proposal to remove the 1960s silos</w:t>
      </w:r>
      <w:r w:rsidR="006A2EF9">
        <w:rPr>
          <w:lang w:eastAsia="en-AU"/>
        </w:rPr>
        <w:t xml:space="preserve"> which </w:t>
      </w:r>
      <w:r w:rsidR="0000249D">
        <w:rPr>
          <w:lang w:eastAsia="en-AU"/>
        </w:rPr>
        <w:t xml:space="preserve">support </w:t>
      </w:r>
      <w:r w:rsidR="006A2EF9">
        <w:rPr>
          <w:lang w:eastAsia="en-AU"/>
        </w:rPr>
        <w:t>the Nylex Sign</w:t>
      </w:r>
      <w:r w:rsidR="009D3869">
        <w:rPr>
          <w:lang w:eastAsia="en-AU"/>
        </w:rPr>
        <w:t>,</w:t>
      </w:r>
      <w:r w:rsidR="00F75236">
        <w:rPr>
          <w:lang w:eastAsia="en-AU"/>
        </w:rPr>
        <w:t xml:space="preserve"> and</w:t>
      </w:r>
      <w:r w:rsidR="000861F8">
        <w:rPr>
          <w:lang w:eastAsia="en-AU"/>
        </w:rPr>
        <w:t xml:space="preserve"> which are currently exempt</w:t>
      </w:r>
      <w:r w:rsidR="006A2EF9">
        <w:rPr>
          <w:lang w:eastAsia="en-AU"/>
        </w:rPr>
        <w:t xml:space="preserve"> from a heritage permit for demolition</w:t>
      </w:r>
      <w:r w:rsidR="00C45E73">
        <w:rPr>
          <w:lang w:eastAsia="en-AU"/>
        </w:rPr>
        <w:t>;</w:t>
      </w:r>
      <w:r w:rsidR="00CF46F6">
        <w:rPr>
          <w:lang w:eastAsia="en-AU"/>
        </w:rPr>
        <w:t xml:space="preserve"> </w:t>
      </w:r>
      <w:r w:rsidR="000861F8">
        <w:rPr>
          <w:lang w:eastAsia="en-AU"/>
        </w:rPr>
        <w:t xml:space="preserve">and </w:t>
      </w:r>
      <w:r w:rsidR="00BF6022">
        <w:rPr>
          <w:lang w:eastAsia="en-AU"/>
        </w:rPr>
        <w:t xml:space="preserve">the hearing of </w:t>
      </w:r>
      <w:r w:rsidR="000861F8">
        <w:rPr>
          <w:lang w:eastAsia="en-AU"/>
        </w:rPr>
        <w:t>an application to amend the registration</w:t>
      </w:r>
      <w:r w:rsidR="00BF6022">
        <w:rPr>
          <w:lang w:eastAsia="en-AU"/>
        </w:rPr>
        <w:t xml:space="preserve"> of the Place</w:t>
      </w:r>
      <w:r w:rsidR="000861F8">
        <w:rPr>
          <w:lang w:eastAsia="en-AU"/>
        </w:rPr>
        <w:t xml:space="preserve"> so as to remove that</w:t>
      </w:r>
      <w:r w:rsidR="00BF6022">
        <w:rPr>
          <w:lang w:eastAsia="en-AU"/>
        </w:rPr>
        <w:t xml:space="preserve"> same</w:t>
      </w:r>
      <w:r w:rsidR="000861F8">
        <w:rPr>
          <w:lang w:eastAsia="en-AU"/>
        </w:rPr>
        <w:t xml:space="preserve"> permit exemption</w:t>
      </w:r>
      <w:r w:rsidRPr="00502E20">
        <w:rPr>
          <w:lang w:eastAsia="en-AU"/>
        </w:rPr>
        <w:t xml:space="preserve">. </w:t>
      </w:r>
      <w:r w:rsidRPr="00502E20">
        <w:rPr>
          <w:rFonts w:hAnsi="Times New Roman" w:cs="Times New Roman"/>
        </w:rPr>
        <w:t xml:space="preserve">Yarra made submissions to the Committee that the uncertainty of outcomes in relation to those other proceedings and their relationship to this </w:t>
      </w:r>
      <w:r w:rsidR="009D3869" w:rsidRPr="00502E20">
        <w:rPr>
          <w:rFonts w:hAnsi="Times New Roman" w:cs="Times New Roman"/>
        </w:rPr>
        <w:t>permit appeal</w:t>
      </w:r>
      <w:r w:rsidRPr="00502E20">
        <w:rPr>
          <w:rFonts w:hAnsi="Times New Roman" w:cs="Times New Roman"/>
        </w:rPr>
        <w:t xml:space="preserve"> </w:t>
      </w:r>
      <w:r w:rsidR="009D3869" w:rsidRPr="00502E20">
        <w:rPr>
          <w:rFonts w:hAnsi="Times New Roman" w:cs="Times New Roman"/>
        </w:rPr>
        <w:t xml:space="preserve">hearing </w:t>
      </w:r>
      <w:r w:rsidRPr="00502E20">
        <w:rPr>
          <w:rFonts w:hAnsi="Times New Roman" w:cs="Times New Roman"/>
        </w:rPr>
        <w:t xml:space="preserve">were such that the Committee should decline to consider the </w:t>
      </w:r>
      <w:r w:rsidR="009D3869" w:rsidRPr="00502E20">
        <w:rPr>
          <w:rFonts w:hAnsi="Times New Roman" w:cs="Times New Roman"/>
        </w:rPr>
        <w:t>permit appeal</w:t>
      </w:r>
      <w:r w:rsidRPr="00502E20">
        <w:rPr>
          <w:rFonts w:hAnsi="Times New Roman" w:cs="Times New Roman"/>
        </w:rPr>
        <w:t xml:space="preserve"> (or refuse it). This uncertainty</w:t>
      </w:r>
      <w:r w:rsidR="00364EB3" w:rsidRPr="00502E20">
        <w:rPr>
          <w:rFonts w:hAnsi="Times New Roman" w:cs="Times New Roman"/>
        </w:rPr>
        <w:t xml:space="preserve">, while it was not a ground for refusal, </w:t>
      </w:r>
      <w:r w:rsidRPr="00502E20">
        <w:rPr>
          <w:rFonts w:hAnsi="Times New Roman" w:cs="Times New Roman"/>
        </w:rPr>
        <w:t xml:space="preserve">was </w:t>
      </w:r>
      <w:r w:rsidR="000861F8" w:rsidRPr="00502E20">
        <w:rPr>
          <w:rFonts w:hAnsi="Times New Roman" w:cs="Times New Roman"/>
        </w:rPr>
        <w:t xml:space="preserve">also </w:t>
      </w:r>
      <w:r w:rsidRPr="00502E20">
        <w:rPr>
          <w:rFonts w:hAnsi="Times New Roman" w:cs="Times New Roman"/>
        </w:rPr>
        <w:t>referred to in the officer report to the Executive Director</w:t>
      </w:r>
      <w:r w:rsidR="00AE725E">
        <w:rPr>
          <w:rFonts w:hAnsi="Times New Roman" w:cs="Times New Roman"/>
        </w:rPr>
        <w:t xml:space="preserve"> on the Application</w:t>
      </w:r>
      <w:r w:rsidRPr="00502E20">
        <w:rPr>
          <w:rFonts w:hAnsi="Times New Roman" w:cs="Times New Roman"/>
        </w:rPr>
        <w:t xml:space="preserve">. The </w:t>
      </w:r>
      <w:r w:rsidR="00F54C01" w:rsidRPr="00502E20">
        <w:rPr>
          <w:rFonts w:hAnsi="Times New Roman" w:cs="Times New Roman"/>
        </w:rPr>
        <w:t>Appellant</w:t>
      </w:r>
      <w:r w:rsidRPr="00502E20">
        <w:rPr>
          <w:rFonts w:hAnsi="Times New Roman" w:cs="Times New Roman"/>
        </w:rPr>
        <w:t xml:space="preserve">, however, sought to have the </w:t>
      </w:r>
      <w:r w:rsidR="00A41D1F">
        <w:rPr>
          <w:rFonts w:hAnsi="Times New Roman" w:cs="Times New Roman"/>
        </w:rPr>
        <w:t>appeal</w:t>
      </w:r>
      <w:r w:rsidRPr="00502E20">
        <w:rPr>
          <w:rFonts w:hAnsi="Times New Roman" w:cs="Times New Roman"/>
        </w:rPr>
        <w:t xml:space="preserve"> determined independently of the other processes and </w:t>
      </w:r>
      <w:r w:rsidR="000861F8" w:rsidRPr="00502E20">
        <w:rPr>
          <w:rFonts w:hAnsi="Times New Roman" w:cs="Times New Roman"/>
        </w:rPr>
        <w:t>i</w:t>
      </w:r>
      <w:r w:rsidRPr="00502E20">
        <w:rPr>
          <w:rFonts w:hAnsi="Times New Roman" w:cs="Times New Roman"/>
        </w:rPr>
        <w:t xml:space="preserve">n the context of the </w:t>
      </w:r>
      <w:r w:rsidR="006A2EF9">
        <w:rPr>
          <w:rFonts w:hAnsi="Times New Roman" w:cs="Times New Roman"/>
        </w:rPr>
        <w:t>site as it is today.</w:t>
      </w:r>
    </w:p>
    <w:p w14:paraId="48460D70" w14:textId="77777777" w:rsidR="00BA3FF9" w:rsidRPr="003362DD" w:rsidRDefault="009B4B1B" w:rsidP="001971C2">
      <w:pPr>
        <w:pStyle w:val="Para1"/>
        <w:numPr>
          <w:ilvl w:val="0"/>
          <w:numId w:val="8"/>
        </w:numPr>
        <w:spacing w:line="240" w:lineRule="auto"/>
        <w:ind w:left="567" w:hanging="567"/>
        <w:rPr>
          <w:rFonts w:hAnsi="Times New Roman" w:cs="Times New Roman"/>
        </w:rPr>
      </w:pPr>
      <w:r w:rsidRPr="00502E20">
        <w:rPr>
          <w:rFonts w:hAnsi="Times New Roman" w:cs="Times New Roman"/>
        </w:rPr>
        <w:t xml:space="preserve">The Committee considers that it </w:t>
      </w:r>
      <w:r w:rsidR="00BB2E0A" w:rsidRPr="00502E20">
        <w:rPr>
          <w:rFonts w:hAnsi="Times New Roman" w:cs="Times New Roman"/>
        </w:rPr>
        <w:t>can</w:t>
      </w:r>
      <w:r w:rsidR="000861F8" w:rsidRPr="00502E20">
        <w:rPr>
          <w:rFonts w:hAnsi="Times New Roman" w:cs="Times New Roman"/>
        </w:rPr>
        <w:t xml:space="preserve"> make its decision independent of </w:t>
      </w:r>
      <w:r w:rsidRPr="00502E20">
        <w:rPr>
          <w:rFonts w:hAnsi="Times New Roman" w:cs="Times New Roman"/>
        </w:rPr>
        <w:t xml:space="preserve">the other processes </w:t>
      </w:r>
      <w:r w:rsidR="009D3869" w:rsidRPr="00502E20">
        <w:rPr>
          <w:rFonts w:hAnsi="Times New Roman" w:cs="Times New Roman"/>
        </w:rPr>
        <w:t>relating to</w:t>
      </w:r>
      <w:r w:rsidRPr="00502E20">
        <w:rPr>
          <w:rFonts w:hAnsi="Times New Roman" w:cs="Times New Roman"/>
        </w:rPr>
        <w:t xml:space="preserve"> the </w:t>
      </w:r>
      <w:r w:rsidR="009D3869" w:rsidRPr="00502E20">
        <w:rPr>
          <w:rFonts w:hAnsi="Times New Roman" w:cs="Times New Roman"/>
        </w:rPr>
        <w:t>Place</w:t>
      </w:r>
      <w:r w:rsidRPr="00502E20">
        <w:rPr>
          <w:rFonts w:hAnsi="Times New Roman" w:cs="Times New Roman"/>
        </w:rPr>
        <w:t xml:space="preserve"> and has adopted the course urged by the </w:t>
      </w:r>
      <w:r w:rsidR="00F54C01" w:rsidRPr="00502E20">
        <w:rPr>
          <w:rFonts w:hAnsi="Times New Roman" w:cs="Times New Roman"/>
        </w:rPr>
        <w:t>Appellant</w:t>
      </w:r>
      <w:r w:rsidRPr="00502E20">
        <w:rPr>
          <w:rFonts w:hAnsi="Times New Roman" w:cs="Times New Roman"/>
        </w:rPr>
        <w:t>.</w:t>
      </w:r>
      <w:r w:rsidR="00754FE0" w:rsidRPr="00502E20">
        <w:rPr>
          <w:rFonts w:hAnsi="Times New Roman" w:cs="Times New Roman"/>
        </w:rPr>
        <w:t xml:space="preserve"> The Committee notes </w:t>
      </w:r>
      <w:r w:rsidRPr="00502E20">
        <w:rPr>
          <w:rFonts w:hAnsi="Times New Roman" w:cs="Times New Roman"/>
        </w:rPr>
        <w:t>that the material it has considered in making its determination relate</w:t>
      </w:r>
      <w:r w:rsidR="000861F8" w:rsidRPr="00502E20">
        <w:rPr>
          <w:rFonts w:hAnsi="Times New Roman" w:cs="Times New Roman"/>
        </w:rPr>
        <w:t xml:space="preserve">s only to </w:t>
      </w:r>
      <w:r w:rsidR="00AE725E">
        <w:rPr>
          <w:rFonts w:hAnsi="Times New Roman" w:cs="Times New Roman"/>
        </w:rPr>
        <w:t>P</w:t>
      </w:r>
      <w:r w:rsidR="000861F8" w:rsidRPr="00502E20">
        <w:rPr>
          <w:rFonts w:hAnsi="Times New Roman" w:cs="Times New Roman"/>
        </w:rPr>
        <w:t xml:space="preserve">ermit </w:t>
      </w:r>
      <w:r w:rsidR="00AE725E">
        <w:rPr>
          <w:rFonts w:hAnsi="Times New Roman" w:cs="Times New Roman"/>
        </w:rPr>
        <w:t>A</w:t>
      </w:r>
      <w:r w:rsidR="000861F8" w:rsidRPr="00502E20">
        <w:rPr>
          <w:rFonts w:hAnsi="Times New Roman" w:cs="Times New Roman"/>
        </w:rPr>
        <w:t>ppeal P24224.</w:t>
      </w:r>
    </w:p>
    <w:p w14:paraId="427E5D2D" w14:textId="77777777" w:rsidR="00956954" w:rsidRPr="007113DB" w:rsidRDefault="00956954" w:rsidP="001D1080">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40" w:after="120" w:line="240" w:lineRule="atLeast"/>
        <w:rPr>
          <w:b/>
          <w:lang w:eastAsia="en-AU"/>
        </w:rPr>
      </w:pPr>
      <w:r w:rsidRPr="007113DB">
        <w:rPr>
          <w:b/>
          <w:lang w:eastAsia="en-AU"/>
        </w:rPr>
        <w:t>ISSUES</w:t>
      </w:r>
    </w:p>
    <w:p w14:paraId="04C958E0" w14:textId="77777777" w:rsidR="00F9573E" w:rsidRPr="00F9573E" w:rsidRDefault="00956954" w:rsidP="001971C2">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before="120" w:after="120" w:line="240" w:lineRule="atLeast"/>
        <w:ind w:left="567" w:hanging="567"/>
        <w:jc w:val="both"/>
        <w:rPr>
          <w:rFonts w:hAnsi="Times New Roman" w:cs="Times New Roman"/>
          <w:lang w:eastAsia="en-AU"/>
        </w:rPr>
      </w:pPr>
      <w:r>
        <w:t>Th</w:t>
      </w:r>
      <w:r w:rsidR="005A2839">
        <w:t>e following</w:t>
      </w:r>
      <w:r w:rsidR="00FC7785">
        <w:t xml:space="preserve"> issues sections</w:t>
      </w:r>
      <w:r>
        <w:t xml:space="preserve"> are</w:t>
      </w:r>
      <w:r w:rsidRPr="00D749EA">
        <w:t xml:space="preserve"> not intended to be a complete record of submissions that were made to the Committee. </w:t>
      </w:r>
      <w:r w:rsidR="00FC7785">
        <w:t>A</w:t>
      </w:r>
      <w:r w:rsidRPr="00D749EA">
        <w:t xml:space="preserve"> summary of </w:t>
      </w:r>
      <w:r w:rsidR="00142DF5">
        <w:t xml:space="preserve">the position taken by parties in relation to </w:t>
      </w:r>
      <w:r w:rsidR="00FC7785">
        <w:t>key</w:t>
      </w:r>
      <w:r w:rsidR="00142DF5">
        <w:t xml:space="preserve"> issues</w:t>
      </w:r>
      <w:r w:rsidR="00FC7785">
        <w:t xml:space="preserve"> is included</w:t>
      </w:r>
      <w:r w:rsidR="00554381">
        <w:t xml:space="preserve"> </w:t>
      </w:r>
      <w:r w:rsidRPr="00D749EA">
        <w:t xml:space="preserve">followed by </w:t>
      </w:r>
      <w:r w:rsidR="00364EB3">
        <w:t xml:space="preserve">a discussion </w:t>
      </w:r>
      <w:r w:rsidR="00251545">
        <w:t xml:space="preserve">and </w:t>
      </w:r>
      <w:r w:rsidR="00667F16">
        <w:t xml:space="preserve">the </w:t>
      </w:r>
      <w:r w:rsidR="00364EB3">
        <w:t>conclusions</w:t>
      </w:r>
      <w:r w:rsidR="00251545">
        <w:t xml:space="preserve"> reached</w:t>
      </w:r>
      <w:r w:rsidR="005A2839">
        <w:t xml:space="preserve"> </w:t>
      </w:r>
      <w:r w:rsidR="00364EB3">
        <w:t xml:space="preserve">by </w:t>
      </w:r>
      <w:r w:rsidR="00667F16">
        <w:t>t</w:t>
      </w:r>
      <w:r w:rsidRPr="00D749EA">
        <w:t>he Committee on each issue.</w:t>
      </w:r>
      <w:r w:rsidR="00F9573E" w:rsidRPr="00F9573E">
        <w:rPr>
          <w:lang w:eastAsia="en-AU"/>
        </w:rPr>
        <w:t xml:space="preserve"> </w:t>
      </w:r>
    </w:p>
    <w:p w14:paraId="3B632E77" w14:textId="77777777" w:rsidR="0007387C" w:rsidRPr="00A37C71" w:rsidRDefault="0007387C" w:rsidP="00DB11EA">
      <w:pPr>
        <w:pStyle w:val="Para1"/>
        <w:numPr>
          <w:ilvl w:val="0"/>
          <w:numId w:val="0"/>
        </w:numPr>
        <w:tabs>
          <w:tab w:val="left" w:pos="426"/>
        </w:tabs>
        <w:spacing w:before="120" w:line="240" w:lineRule="auto"/>
        <w:rPr>
          <w:rFonts w:eastAsia="Times New Roman Bold" w:hAnsi="Times New Roman" w:cs="Times New Roman"/>
          <w:b/>
        </w:rPr>
      </w:pPr>
      <w:r w:rsidRPr="00A37C71">
        <w:rPr>
          <w:rFonts w:hAnsi="Times New Roman" w:cs="Times New Roman"/>
          <w:b/>
        </w:rPr>
        <w:t xml:space="preserve">Summary of </w:t>
      </w:r>
      <w:r w:rsidR="00BB2E0A">
        <w:rPr>
          <w:rFonts w:hAnsi="Times New Roman" w:cs="Times New Roman"/>
          <w:b/>
        </w:rPr>
        <w:t xml:space="preserve">submissions by </w:t>
      </w:r>
      <w:r w:rsidR="00FC7785">
        <w:rPr>
          <w:rFonts w:hAnsi="Times New Roman" w:cs="Times New Roman"/>
          <w:b/>
        </w:rPr>
        <w:t>parties</w:t>
      </w:r>
    </w:p>
    <w:p w14:paraId="66FA61B2" w14:textId="0E0A7979" w:rsidR="0007387C" w:rsidRPr="009B6BD9" w:rsidRDefault="0059685A" w:rsidP="001971C2">
      <w:pPr>
        <w:pStyle w:val="Para1"/>
        <w:numPr>
          <w:ilvl w:val="0"/>
          <w:numId w:val="8"/>
        </w:numPr>
        <w:spacing w:line="240" w:lineRule="auto"/>
        <w:ind w:left="567" w:hanging="567"/>
        <w:rPr>
          <w:rFonts w:hAnsi="Times New Roman" w:cs="Times New Roman"/>
        </w:rPr>
      </w:pPr>
      <w:r>
        <w:rPr>
          <w:lang w:eastAsia="en-AU"/>
        </w:rPr>
        <w:t>The principal issue</w:t>
      </w:r>
      <w:r w:rsidR="009B6BD9">
        <w:rPr>
          <w:lang w:eastAsia="en-AU"/>
        </w:rPr>
        <w:t>s</w:t>
      </w:r>
      <w:r w:rsidR="00FB109A">
        <w:rPr>
          <w:lang w:eastAsia="en-AU"/>
        </w:rPr>
        <w:t xml:space="preserve"> before the Committee</w:t>
      </w:r>
      <w:r w:rsidR="009B6BD9">
        <w:rPr>
          <w:lang w:eastAsia="en-AU"/>
        </w:rPr>
        <w:t xml:space="preserve"> are</w:t>
      </w:r>
      <w:r>
        <w:rPr>
          <w:lang w:eastAsia="en-AU"/>
        </w:rPr>
        <w:t xml:space="preserve"> the extent to which the proposed works, if approved, would affect the cultural her</w:t>
      </w:r>
      <w:r w:rsidR="009B6BD9">
        <w:rPr>
          <w:lang w:eastAsia="en-AU"/>
        </w:rPr>
        <w:t xml:space="preserve">itage significance of the Place; and the extent </w:t>
      </w:r>
      <w:r w:rsidR="009B6BD9" w:rsidRPr="009B6BD9">
        <w:rPr>
          <w:rFonts w:hAnsi="Times New Roman" w:cs="Times New Roman"/>
        </w:rPr>
        <w:t xml:space="preserve">to which </w:t>
      </w:r>
      <w:r w:rsidR="00E84B72">
        <w:rPr>
          <w:rFonts w:hAnsi="Times New Roman" w:cs="Times New Roman"/>
        </w:rPr>
        <w:t xml:space="preserve">a refusal to issue a permit for the proposed works </w:t>
      </w:r>
      <w:r w:rsidR="009B6BD9" w:rsidRPr="009B6BD9">
        <w:rPr>
          <w:rFonts w:hAnsi="Times New Roman" w:cs="Times New Roman"/>
        </w:rPr>
        <w:t>would affect the reasonable or economic use of the registered Place, or cause undue financial hardship to the owner</w:t>
      </w:r>
      <w:r w:rsidR="00E84B72">
        <w:rPr>
          <w:rFonts w:hAnsi="Times New Roman" w:cs="Times New Roman"/>
        </w:rPr>
        <w:t xml:space="preserve"> of the Place</w:t>
      </w:r>
      <w:r w:rsidR="009B6BD9">
        <w:rPr>
          <w:rFonts w:hAnsi="Times New Roman" w:cs="Times New Roman"/>
        </w:rPr>
        <w:t>.</w:t>
      </w:r>
      <w:r w:rsidRPr="009B6BD9">
        <w:rPr>
          <w:lang w:eastAsia="en-AU"/>
        </w:rPr>
        <w:t xml:space="preserve"> The parties disagreed </w:t>
      </w:r>
      <w:r w:rsidR="009B6BD9" w:rsidRPr="009B6BD9">
        <w:rPr>
          <w:lang w:eastAsia="en-AU"/>
        </w:rPr>
        <w:t>on these two central</w:t>
      </w:r>
      <w:r w:rsidR="009677DC" w:rsidRPr="009B6BD9">
        <w:rPr>
          <w:lang w:eastAsia="en-AU"/>
        </w:rPr>
        <w:t xml:space="preserve"> </w:t>
      </w:r>
      <w:r w:rsidR="009B6BD9" w:rsidRPr="009B6BD9">
        <w:rPr>
          <w:lang w:eastAsia="en-AU"/>
        </w:rPr>
        <w:t>issues</w:t>
      </w:r>
      <w:r w:rsidR="0041016D">
        <w:rPr>
          <w:lang w:eastAsia="en-AU"/>
        </w:rPr>
        <w:t>. The parties also disagreed</w:t>
      </w:r>
      <w:r w:rsidR="00CB00FC">
        <w:rPr>
          <w:lang w:eastAsia="en-AU"/>
        </w:rPr>
        <w:t xml:space="preserve"> </w:t>
      </w:r>
      <w:r w:rsidR="00C744B9">
        <w:rPr>
          <w:lang w:eastAsia="en-AU"/>
        </w:rPr>
        <w:t>on</w:t>
      </w:r>
      <w:r w:rsidR="00CB00FC">
        <w:rPr>
          <w:lang w:eastAsia="en-AU"/>
        </w:rPr>
        <w:t xml:space="preserve"> the </w:t>
      </w:r>
      <w:r w:rsidR="00917F6F">
        <w:rPr>
          <w:lang w:eastAsia="en-AU"/>
        </w:rPr>
        <w:t>question of the extent to which</w:t>
      </w:r>
      <w:r w:rsidR="00C744B9">
        <w:rPr>
          <w:lang w:eastAsia="en-AU"/>
        </w:rPr>
        <w:t xml:space="preserve"> </w:t>
      </w:r>
      <w:r w:rsidR="00CB00FC">
        <w:rPr>
          <w:lang w:eastAsia="en-AU"/>
        </w:rPr>
        <w:t xml:space="preserve">the proposed works, if approved, would affect the cultural heritage significance of </w:t>
      </w:r>
      <w:r w:rsidR="00AE725E">
        <w:rPr>
          <w:lang w:eastAsia="en-AU"/>
        </w:rPr>
        <w:t xml:space="preserve">the </w:t>
      </w:r>
      <w:r w:rsidR="0041016D">
        <w:rPr>
          <w:lang w:eastAsia="en-AU"/>
        </w:rPr>
        <w:t xml:space="preserve">adjoining </w:t>
      </w:r>
      <w:r w:rsidR="00CB00FC">
        <w:rPr>
          <w:lang w:eastAsia="en-AU"/>
        </w:rPr>
        <w:t>heritage</w:t>
      </w:r>
      <w:r w:rsidR="002F2A64">
        <w:rPr>
          <w:lang w:eastAsia="en-AU"/>
        </w:rPr>
        <w:t xml:space="preserve"> place (the </w:t>
      </w:r>
      <w:r w:rsidR="004774D6">
        <w:rPr>
          <w:lang w:eastAsia="en-AU"/>
        </w:rPr>
        <w:t>Nylex Sign</w:t>
      </w:r>
      <w:r w:rsidR="002F2A64">
        <w:rPr>
          <w:lang w:eastAsia="en-AU"/>
        </w:rPr>
        <w:t>),</w:t>
      </w:r>
      <w:r w:rsidR="00CB00FC">
        <w:rPr>
          <w:lang w:eastAsia="en-AU"/>
        </w:rPr>
        <w:t xml:space="preserve"> and on </w:t>
      </w:r>
      <w:r w:rsidR="00C744B9">
        <w:rPr>
          <w:lang w:eastAsia="en-AU"/>
        </w:rPr>
        <w:t>ad</w:t>
      </w:r>
      <w:r w:rsidR="00531F25">
        <w:rPr>
          <w:lang w:eastAsia="en-AU"/>
        </w:rPr>
        <w:t>ditional matters relating to the protection and conservation of the Place.</w:t>
      </w:r>
    </w:p>
    <w:p w14:paraId="2E82DB08" w14:textId="77777777" w:rsidR="0007387C" w:rsidRDefault="0007387C" w:rsidP="001971C2">
      <w:pPr>
        <w:pStyle w:val="Para1"/>
        <w:numPr>
          <w:ilvl w:val="0"/>
          <w:numId w:val="8"/>
        </w:numPr>
        <w:spacing w:line="240" w:lineRule="auto"/>
        <w:ind w:left="567" w:hanging="567"/>
        <w:rPr>
          <w:rFonts w:hAnsi="Times New Roman" w:cs="Times New Roman"/>
        </w:rPr>
      </w:pPr>
      <w:r w:rsidRPr="009B6BD9">
        <w:rPr>
          <w:rFonts w:hAnsi="Times New Roman" w:cs="Times New Roman"/>
        </w:rPr>
        <w:t xml:space="preserve">The Executive Director </w:t>
      </w:r>
      <w:r w:rsidR="007A1FA9" w:rsidRPr="009B6BD9">
        <w:rPr>
          <w:rFonts w:hAnsi="Times New Roman" w:cs="Times New Roman"/>
        </w:rPr>
        <w:t>submitted</w:t>
      </w:r>
      <w:r>
        <w:rPr>
          <w:rFonts w:hAnsi="Times New Roman" w:cs="Times New Roman"/>
        </w:rPr>
        <w:t xml:space="preserve"> that</w:t>
      </w:r>
      <w:r w:rsidR="0041016D">
        <w:rPr>
          <w:rFonts w:hAnsi="Times New Roman" w:cs="Times New Roman"/>
        </w:rPr>
        <w:t xml:space="preserve"> a permit for the proposed works should be refused as</w:t>
      </w:r>
      <w:r w:rsidR="00CB00FC">
        <w:rPr>
          <w:rFonts w:hAnsi="Times New Roman" w:cs="Times New Roman"/>
        </w:rPr>
        <w:t xml:space="preserve"> the</w:t>
      </w:r>
      <w:r w:rsidR="00D4693D">
        <w:rPr>
          <w:rFonts w:hAnsi="Times New Roman" w:cs="Times New Roman"/>
        </w:rPr>
        <w:t xml:space="preserve"> proposed works</w:t>
      </w:r>
      <w:r w:rsidR="00486580">
        <w:rPr>
          <w:rFonts w:hAnsi="Times New Roman" w:cs="Times New Roman"/>
        </w:rPr>
        <w:t xml:space="preserve"> would</w:t>
      </w:r>
      <w:r w:rsidR="00D31F80">
        <w:rPr>
          <w:rFonts w:hAnsi="Times New Roman" w:cs="Times New Roman"/>
        </w:rPr>
        <w:t xml:space="preserve"> </w:t>
      </w:r>
      <w:r w:rsidR="00CB00FC">
        <w:rPr>
          <w:rFonts w:hAnsi="Times New Roman" w:cs="Times New Roman"/>
        </w:rPr>
        <w:t>adversely impact on the historical, aesthetic and social significance</w:t>
      </w:r>
      <w:r w:rsidR="00486580">
        <w:rPr>
          <w:rFonts w:hAnsi="Times New Roman" w:cs="Times New Roman"/>
        </w:rPr>
        <w:t xml:space="preserve"> </w:t>
      </w:r>
      <w:r w:rsidR="00F373D1">
        <w:rPr>
          <w:rFonts w:hAnsi="Times New Roman" w:cs="Times New Roman"/>
        </w:rPr>
        <w:t>of the Place</w:t>
      </w:r>
      <w:r w:rsidR="00AE725E">
        <w:rPr>
          <w:rFonts w:hAnsi="Times New Roman" w:cs="Times New Roman"/>
        </w:rPr>
        <w:t>;</w:t>
      </w:r>
      <w:r w:rsidR="00CB00FC">
        <w:rPr>
          <w:rFonts w:hAnsi="Times New Roman" w:cs="Times New Roman"/>
        </w:rPr>
        <w:t xml:space="preserve"> and</w:t>
      </w:r>
      <w:r w:rsidR="0041016D">
        <w:rPr>
          <w:rFonts w:hAnsi="Times New Roman" w:cs="Times New Roman"/>
        </w:rPr>
        <w:t xml:space="preserve"> that</w:t>
      </w:r>
      <w:r w:rsidR="00CB00FC">
        <w:rPr>
          <w:rFonts w:hAnsi="Times New Roman" w:cs="Times New Roman"/>
        </w:rPr>
        <w:t xml:space="preserve"> the mass, scale and form of the proposed works would adversely </w:t>
      </w:r>
      <w:r w:rsidR="0041016D">
        <w:rPr>
          <w:rFonts w:hAnsi="Times New Roman" w:cs="Times New Roman"/>
        </w:rPr>
        <w:t>affect</w:t>
      </w:r>
      <w:r w:rsidR="00CB00FC">
        <w:rPr>
          <w:rFonts w:hAnsi="Times New Roman" w:cs="Times New Roman"/>
        </w:rPr>
        <w:t xml:space="preserve"> the </w:t>
      </w:r>
      <w:r w:rsidR="0041016D">
        <w:rPr>
          <w:rFonts w:hAnsi="Times New Roman" w:cs="Times New Roman"/>
        </w:rPr>
        <w:t xml:space="preserve">social significance of the </w:t>
      </w:r>
      <w:r w:rsidR="004774D6">
        <w:rPr>
          <w:rFonts w:hAnsi="Times New Roman" w:cs="Times New Roman"/>
        </w:rPr>
        <w:t>Nylex Sign</w:t>
      </w:r>
      <w:r w:rsidR="001E13B5">
        <w:rPr>
          <w:rFonts w:hAnsi="Times New Roman" w:cs="Times New Roman"/>
        </w:rPr>
        <w:t>.</w:t>
      </w:r>
      <w:r w:rsidR="00D4693D">
        <w:rPr>
          <w:rFonts w:hAnsi="Times New Roman" w:cs="Times New Roman"/>
        </w:rPr>
        <w:t xml:space="preserve"> </w:t>
      </w:r>
      <w:r w:rsidR="00471EAA">
        <w:rPr>
          <w:rFonts w:hAnsi="Times New Roman" w:cs="Times New Roman"/>
        </w:rPr>
        <w:t xml:space="preserve">The Executive Director </w:t>
      </w:r>
      <w:r w:rsidR="009677DC">
        <w:rPr>
          <w:rFonts w:hAnsi="Times New Roman" w:cs="Times New Roman"/>
        </w:rPr>
        <w:t>submitted</w:t>
      </w:r>
      <w:r w:rsidR="00471EAA">
        <w:rPr>
          <w:rFonts w:hAnsi="Times New Roman" w:cs="Times New Roman"/>
        </w:rPr>
        <w:t xml:space="preserve"> that the refusal </w:t>
      </w:r>
      <w:r w:rsidR="006D4D1B">
        <w:rPr>
          <w:rFonts w:hAnsi="Times New Roman" w:cs="Times New Roman"/>
        </w:rPr>
        <w:t>would</w:t>
      </w:r>
      <w:r w:rsidR="00471EAA">
        <w:rPr>
          <w:rFonts w:hAnsi="Times New Roman" w:cs="Times New Roman"/>
        </w:rPr>
        <w:t xml:space="preserve"> not</w:t>
      </w:r>
      <w:r w:rsidR="006D4D1B">
        <w:rPr>
          <w:rFonts w:hAnsi="Times New Roman" w:cs="Times New Roman"/>
        </w:rPr>
        <w:t xml:space="preserve"> detrimentally</w:t>
      </w:r>
      <w:r w:rsidR="00471EAA">
        <w:rPr>
          <w:rFonts w:hAnsi="Times New Roman" w:cs="Times New Roman"/>
        </w:rPr>
        <w:t xml:space="preserve"> affect the Appellant’s reasonable</w:t>
      </w:r>
      <w:r w:rsidR="00226BFB">
        <w:rPr>
          <w:rFonts w:hAnsi="Times New Roman" w:cs="Times New Roman"/>
        </w:rPr>
        <w:t xml:space="preserve"> or economic</w:t>
      </w:r>
      <w:r w:rsidR="00471EAA">
        <w:rPr>
          <w:rFonts w:hAnsi="Times New Roman" w:cs="Times New Roman"/>
        </w:rPr>
        <w:t xml:space="preserve"> use of the Place</w:t>
      </w:r>
      <w:r w:rsidR="00AE725E">
        <w:rPr>
          <w:rFonts w:hAnsi="Times New Roman" w:cs="Times New Roman"/>
        </w:rPr>
        <w:t xml:space="preserve">; </w:t>
      </w:r>
      <w:r w:rsidR="000C27DA">
        <w:rPr>
          <w:rFonts w:hAnsi="Times New Roman" w:cs="Times New Roman"/>
        </w:rPr>
        <w:t>and that insufficient evidence had been provided as to the extent of any effect</w:t>
      </w:r>
      <w:r w:rsidR="00A800B1">
        <w:rPr>
          <w:rFonts w:hAnsi="Times New Roman" w:cs="Times New Roman"/>
        </w:rPr>
        <w:t xml:space="preserve"> on </w:t>
      </w:r>
      <w:r w:rsidR="0099376C">
        <w:rPr>
          <w:rFonts w:hAnsi="Times New Roman" w:cs="Times New Roman"/>
        </w:rPr>
        <w:t>reasonable</w:t>
      </w:r>
      <w:r w:rsidR="00AE5ED9">
        <w:rPr>
          <w:rFonts w:hAnsi="Times New Roman" w:cs="Times New Roman"/>
        </w:rPr>
        <w:t xml:space="preserve"> or economic</w:t>
      </w:r>
      <w:r w:rsidR="0099376C">
        <w:rPr>
          <w:rFonts w:hAnsi="Times New Roman" w:cs="Times New Roman"/>
        </w:rPr>
        <w:t xml:space="preserve"> </w:t>
      </w:r>
      <w:r w:rsidR="00A800B1">
        <w:rPr>
          <w:rFonts w:hAnsi="Times New Roman" w:cs="Times New Roman"/>
        </w:rPr>
        <w:t>use</w:t>
      </w:r>
      <w:r w:rsidR="000C27DA">
        <w:rPr>
          <w:rFonts w:hAnsi="Times New Roman" w:cs="Times New Roman"/>
        </w:rPr>
        <w:t xml:space="preserve"> or of any financial hardship</w:t>
      </w:r>
      <w:r w:rsidR="005E0183">
        <w:rPr>
          <w:rFonts w:hAnsi="Times New Roman" w:cs="Times New Roman"/>
        </w:rPr>
        <w:t xml:space="preserve"> to the Appell</w:t>
      </w:r>
      <w:r w:rsidR="00352784">
        <w:rPr>
          <w:rFonts w:hAnsi="Times New Roman" w:cs="Times New Roman"/>
        </w:rPr>
        <w:t xml:space="preserve">ant as owner of the </w:t>
      </w:r>
      <w:r w:rsidR="00DB4EF5">
        <w:rPr>
          <w:rFonts w:hAnsi="Times New Roman" w:cs="Times New Roman"/>
        </w:rPr>
        <w:t>Place</w:t>
      </w:r>
      <w:r w:rsidR="00635DCA">
        <w:rPr>
          <w:rFonts w:hAnsi="Times New Roman" w:cs="Times New Roman"/>
        </w:rPr>
        <w:t>.</w:t>
      </w:r>
    </w:p>
    <w:p w14:paraId="6D1994ED" w14:textId="77777777" w:rsidR="00D31F80" w:rsidRDefault="003B6DAF" w:rsidP="001971C2">
      <w:pPr>
        <w:pStyle w:val="Para1"/>
        <w:numPr>
          <w:ilvl w:val="0"/>
          <w:numId w:val="8"/>
        </w:numPr>
        <w:spacing w:line="240" w:lineRule="auto"/>
        <w:ind w:left="567" w:hanging="567"/>
        <w:rPr>
          <w:rFonts w:hAnsi="Times New Roman" w:cs="Times New Roman"/>
        </w:rPr>
      </w:pPr>
      <w:r>
        <w:rPr>
          <w:rFonts w:hAnsi="Times New Roman" w:cs="Times New Roman"/>
        </w:rPr>
        <w:t xml:space="preserve">Yarra </w:t>
      </w:r>
      <w:r w:rsidR="00352784">
        <w:rPr>
          <w:rFonts w:hAnsi="Times New Roman" w:cs="Times New Roman"/>
        </w:rPr>
        <w:t xml:space="preserve">similarly </w:t>
      </w:r>
      <w:r>
        <w:rPr>
          <w:rFonts w:hAnsi="Times New Roman" w:cs="Times New Roman"/>
        </w:rPr>
        <w:t>submitted that the proposed works, if approved, would have an unacceptable impact on the cultural heritage significance of the Place</w:t>
      </w:r>
      <w:r w:rsidR="00352784">
        <w:rPr>
          <w:rFonts w:hAnsi="Times New Roman" w:cs="Times New Roman"/>
        </w:rPr>
        <w:t>;</w:t>
      </w:r>
      <w:r>
        <w:rPr>
          <w:rFonts w:hAnsi="Times New Roman" w:cs="Times New Roman"/>
        </w:rPr>
        <w:t xml:space="preserve"> and </w:t>
      </w:r>
      <w:r w:rsidR="00352784">
        <w:rPr>
          <w:rFonts w:hAnsi="Times New Roman" w:cs="Times New Roman"/>
        </w:rPr>
        <w:t>also</w:t>
      </w:r>
      <w:r>
        <w:rPr>
          <w:rFonts w:hAnsi="Times New Roman" w:cs="Times New Roman"/>
        </w:rPr>
        <w:t xml:space="preserve"> submitted that the </w:t>
      </w:r>
      <w:r w:rsidR="0099376C">
        <w:rPr>
          <w:rFonts w:hAnsi="Times New Roman" w:cs="Times New Roman"/>
        </w:rPr>
        <w:t xml:space="preserve">proposed works would have an unacceptable impact on the cultural heritage significance of the </w:t>
      </w:r>
      <w:r w:rsidR="004774D6">
        <w:rPr>
          <w:rFonts w:hAnsi="Times New Roman" w:cs="Times New Roman"/>
        </w:rPr>
        <w:t>Nylex Sign</w:t>
      </w:r>
      <w:r w:rsidR="0099376C">
        <w:rPr>
          <w:rFonts w:hAnsi="Times New Roman" w:cs="Times New Roman"/>
        </w:rPr>
        <w:t>.</w:t>
      </w:r>
      <w:r w:rsidR="00505B22">
        <w:rPr>
          <w:rFonts w:hAnsi="Times New Roman" w:cs="Times New Roman"/>
        </w:rPr>
        <w:t xml:space="preserve"> </w:t>
      </w:r>
      <w:r w:rsidR="003258FA">
        <w:rPr>
          <w:rFonts w:hAnsi="Times New Roman" w:cs="Times New Roman"/>
        </w:rPr>
        <w:t xml:space="preserve">Yarra further submitted that insufficient evidence had been provided </w:t>
      </w:r>
      <w:r w:rsidR="00AE725E">
        <w:rPr>
          <w:rFonts w:hAnsi="Times New Roman" w:cs="Times New Roman"/>
        </w:rPr>
        <w:t>concerning</w:t>
      </w:r>
      <w:r w:rsidR="003258FA">
        <w:rPr>
          <w:rFonts w:hAnsi="Times New Roman" w:cs="Times New Roman"/>
        </w:rPr>
        <w:t xml:space="preserve"> any financial hardship that would be cause</w:t>
      </w:r>
      <w:r w:rsidR="00AE725E">
        <w:rPr>
          <w:rFonts w:hAnsi="Times New Roman" w:cs="Times New Roman"/>
        </w:rPr>
        <w:t>d</w:t>
      </w:r>
      <w:r w:rsidR="003258FA">
        <w:rPr>
          <w:rFonts w:hAnsi="Times New Roman" w:cs="Times New Roman"/>
        </w:rPr>
        <w:t xml:space="preserve"> to the Appellant</w:t>
      </w:r>
      <w:r w:rsidR="00874692">
        <w:rPr>
          <w:rFonts w:hAnsi="Times New Roman" w:cs="Times New Roman"/>
        </w:rPr>
        <w:t xml:space="preserve"> as owner of the Place</w:t>
      </w:r>
      <w:r w:rsidR="003258FA">
        <w:rPr>
          <w:rFonts w:hAnsi="Times New Roman" w:cs="Times New Roman"/>
        </w:rPr>
        <w:t>.</w:t>
      </w:r>
      <w:r w:rsidR="007E728F">
        <w:rPr>
          <w:rFonts w:hAnsi="Times New Roman" w:cs="Times New Roman"/>
        </w:rPr>
        <w:t xml:space="preserve"> </w:t>
      </w:r>
    </w:p>
    <w:p w14:paraId="09732BD5" w14:textId="77777777" w:rsidR="007D3EDC" w:rsidRDefault="00745F0F" w:rsidP="001971C2">
      <w:pPr>
        <w:pStyle w:val="Para1"/>
        <w:numPr>
          <w:ilvl w:val="0"/>
          <w:numId w:val="8"/>
        </w:numPr>
        <w:spacing w:line="240" w:lineRule="auto"/>
        <w:ind w:left="567" w:hanging="567"/>
        <w:rPr>
          <w:rFonts w:hAnsi="Times New Roman" w:cs="Times New Roman"/>
        </w:rPr>
      </w:pPr>
      <w:r>
        <w:rPr>
          <w:rFonts w:hAnsi="Times New Roman" w:cs="Times New Roman"/>
        </w:rPr>
        <w:t>Mr Coffey submitted that the proposed works, if approved, would</w:t>
      </w:r>
      <w:r w:rsidR="00505B22">
        <w:rPr>
          <w:rFonts w:hAnsi="Times New Roman" w:cs="Times New Roman"/>
        </w:rPr>
        <w:t xml:space="preserve"> have a detrimental </w:t>
      </w:r>
      <w:r>
        <w:rPr>
          <w:rFonts w:hAnsi="Times New Roman" w:cs="Times New Roman"/>
        </w:rPr>
        <w:t>impact on the cultural heritage significance of the Place</w:t>
      </w:r>
      <w:r w:rsidR="00EA3EEF">
        <w:rPr>
          <w:rFonts w:hAnsi="Times New Roman" w:cs="Times New Roman"/>
        </w:rPr>
        <w:t xml:space="preserve"> and the </w:t>
      </w:r>
      <w:r w:rsidR="004774D6">
        <w:rPr>
          <w:rFonts w:hAnsi="Times New Roman" w:cs="Times New Roman"/>
        </w:rPr>
        <w:t>Nylex Sign</w:t>
      </w:r>
      <w:r w:rsidR="00FE0BB1">
        <w:rPr>
          <w:rFonts w:hAnsi="Times New Roman" w:cs="Times New Roman"/>
        </w:rPr>
        <w:t>.</w:t>
      </w:r>
      <w:r w:rsidR="007D3EDC" w:rsidRPr="007D3EDC">
        <w:rPr>
          <w:rFonts w:hAnsi="Times New Roman" w:cs="Times New Roman"/>
        </w:rPr>
        <w:t xml:space="preserve"> </w:t>
      </w:r>
    </w:p>
    <w:p w14:paraId="226534DE" w14:textId="77777777" w:rsidR="00754FE0" w:rsidRDefault="007D3EDC" w:rsidP="001971C2">
      <w:pPr>
        <w:pStyle w:val="Para1"/>
        <w:numPr>
          <w:ilvl w:val="0"/>
          <w:numId w:val="8"/>
        </w:numPr>
        <w:spacing w:line="240" w:lineRule="auto"/>
        <w:ind w:left="567" w:hanging="567"/>
        <w:rPr>
          <w:rFonts w:hAnsi="Times New Roman" w:cs="Times New Roman"/>
        </w:rPr>
      </w:pPr>
      <w:r>
        <w:rPr>
          <w:rFonts w:hAnsi="Times New Roman" w:cs="Times New Roman"/>
        </w:rPr>
        <w:t>The Appellant submitted that</w:t>
      </w:r>
      <w:r w:rsidR="003B40B6">
        <w:rPr>
          <w:rFonts w:hAnsi="Times New Roman" w:cs="Times New Roman"/>
        </w:rPr>
        <w:t xml:space="preserve"> the Executive Director erred in his consideration of the Application</w:t>
      </w:r>
      <w:r w:rsidR="00352784">
        <w:rPr>
          <w:rFonts w:hAnsi="Times New Roman" w:cs="Times New Roman"/>
        </w:rPr>
        <w:t>;</w:t>
      </w:r>
      <w:r w:rsidR="003B40B6">
        <w:rPr>
          <w:rFonts w:hAnsi="Times New Roman" w:cs="Times New Roman"/>
        </w:rPr>
        <w:t xml:space="preserve"> </w:t>
      </w:r>
      <w:r w:rsidR="00352784">
        <w:rPr>
          <w:rFonts w:hAnsi="Times New Roman" w:cs="Times New Roman"/>
        </w:rPr>
        <w:t xml:space="preserve">and </w:t>
      </w:r>
      <w:r w:rsidR="003B40B6">
        <w:rPr>
          <w:rFonts w:hAnsi="Times New Roman" w:cs="Times New Roman"/>
        </w:rPr>
        <w:t>that a permit should be issued for the proposed works</w:t>
      </w:r>
      <w:r w:rsidR="00D04C19">
        <w:rPr>
          <w:rFonts w:hAnsi="Times New Roman" w:cs="Times New Roman"/>
        </w:rPr>
        <w:t>,</w:t>
      </w:r>
      <w:r w:rsidR="00352784">
        <w:rPr>
          <w:rFonts w:hAnsi="Times New Roman" w:cs="Times New Roman"/>
        </w:rPr>
        <w:t xml:space="preserve"> as</w:t>
      </w:r>
      <w:r>
        <w:rPr>
          <w:rFonts w:hAnsi="Times New Roman" w:cs="Times New Roman"/>
        </w:rPr>
        <w:t xml:space="preserve"> the </w:t>
      </w:r>
      <w:r w:rsidR="00986BCD">
        <w:rPr>
          <w:rFonts w:hAnsi="Times New Roman" w:cs="Times New Roman"/>
        </w:rPr>
        <w:t>scale</w:t>
      </w:r>
      <w:r w:rsidR="00AC7AC1">
        <w:rPr>
          <w:rFonts w:hAnsi="Times New Roman" w:cs="Times New Roman"/>
        </w:rPr>
        <w:t>,</w:t>
      </w:r>
      <w:r w:rsidR="00986BCD">
        <w:rPr>
          <w:rFonts w:hAnsi="Times New Roman" w:cs="Times New Roman"/>
        </w:rPr>
        <w:t xml:space="preserve"> form and massing of the </w:t>
      </w:r>
      <w:r>
        <w:rPr>
          <w:rFonts w:hAnsi="Times New Roman" w:cs="Times New Roman"/>
        </w:rPr>
        <w:t>proposed works would not adversely affect the cultural heritage significance of the Place nor have a d</w:t>
      </w:r>
      <w:r w:rsidR="00ED4E01">
        <w:rPr>
          <w:rFonts w:hAnsi="Times New Roman" w:cs="Times New Roman"/>
        </w:rPr>
        <w:t>etrimental effect on the</w:t>
      </w:r>
      <w:r w:rsidR="00EA3EEF">
        <w:rPr>
          <w:rFonts w:hAnsi="Times New Roman" w:cs="Times New Roman"/>
        </w:rPr>
        <w:t xml:space="preserve"> cultural heritage significance of the</w:t>
      </w:r>
      <w:r w:rsidR="00ED4E01">
        <w:rPr>
          <w:rFonts w:hAnsi="Times New Roman" w:cs="Times New Roman"/>
        </w:rPr>
        <w:t xml:space="preserve"> </w:t>
      </w:r>
      <w:r w:rsidR="004774D6">
        <w:rPr>
          <w:rFonts w:hAnsi="Times New Roman" w:cs="Times New Roman"/>
        </w:rPr>
        <w:t>Nylex Sign</w:t>
      </w:r>
      <w:r w:rsidR="00986BCD">
        <w:rPr>
          <w:rFonts w:hAnsi="Times New Roman" w:cs="Times New Roman"/>
        </w:rPr>
        <w:t>. The Appellant</w:t>
      </w:r>
      <w:r w:rsidR="00EE5368">
        <w:rPr>
          <w:rFonts w:hAnsi="Times New Roman" w:cs="Times New Roman"/>
        </w:rPr>
        <w:t xml:space="preserve"> further</w:t>
      </w:r>
      <w:r w:rsidR="00986BCD">
        <w:rPr>
          <w:rFonts w:hAnsi="Times New Roman" w:cs="Times New Roman"/>
        </w:rPr>
        <w:t xml:space="preserve"> submitted that a refusal to issue a permit would cause it undue financial hardship</w:t>
      </w:r>
      <w:r w:rsidR="00352784">
        <w:rPr>
          <w:rFonts w:hAnsi="Times New Roman" w:cs="Times New Roman"/>
        </w:rPr>
        <w:t xml:space="preserve"> as</w:t>
      </w:r>
      <w:r w:rsidR="008F366F">
        <w:rPr>
          <w:rFonts w:hAnsi="Times New Roman" w:cs="Times New Roman"/>
        </w:rPr>
        <w:t xml:space="preserve"> the</w:t>
      </w:r>
      <w:r w:rsidR="00352784">
        <w:rPr>
          <w:rFonts w:hAnsi="Times New Roman" w:cs="Times New Roman"/>
        </w:rPr>
        <w:t xml:space="preserve"> owner</w:t>
      </w:r>
      <w:r w:rsidR="008F366F">
        <w:rPr>
          <w:rFonts w:hAnsi="Times New Roman" w:cs="Times New Roman"/>
        </w:rPr>
        <w:t xml:space="preserve"> of the Place</w:t>
      </w:r>
      <w:r>
        <w:rPr>
          <w:rFonts w:hAnsi="Times New Roman" w:cs="Times New Roman"/>
        </w:rPr>
        <w:t xml:space="preserve">. </w:t>
      </w:r>
    </w:p>
    <w:p w14:paraId="0399970A" w14:textId="77777777" w:rsidR="001D1080" w:rsidRDefault="001D1080" w:rsidP="001D1080">
      <w:pPr>
        <w:pStyle w:val="Para1"/>
        <w:numPr>
          <w:ilvl w:val="0"/>
          <w:numId w:val="0"/>
        </w:numPr>
        <w:tabs>
          <w:tab w:val="left" w:pos="0"/>
          <w:tab w:val="left" w:pos="426"/>
        </w:tabs>
        <w:spacing w:before="120"/>
        <w:rPr>
          <w:rFonts w:hAnsi="Times New Roman" w:cs="Times New Roman"/>
          <w:u w:val="single"/>
        </w:rPr>
      </w:pPr>
    </w:p>
    <w:p w14:paraId="364415C1" w14:textId="77777777" w:rsidR="001D1080" w:rsidRDefault="001D1080" w:rsidP="001D1080">
      <w:pPr>
        <w:pStyle w:val="Para1"/>
        <w:numPr>
          <w:ilvl w:val="0"/>
          <w:numId w:val="0"/>
        </w:numPr>
        <w:tabs>
          <w:tab w:val="left" w:pos="0"/>
          <w:tab w:val="left" w:pos="426"/>
        </w:tabs>
        <w:spacing w:before="120"/>
        <w:rPr>
          <w:rFonts w:hAnsi="Times New Roman" w:cs="Times New Roman"/>
          <w:u w:val="single"/>
        </w:rPr>
      </w:pPr>
    </w:p>
    <w:p w14:paraId="1FA9DBC0" w14:textId="77777777" w:rsidR="000F1B66" w:rsidRPr="000F1B66" w:rsidRDefault="000F1B66" w:rsidP="001D1080">
      <w:pPr>
        <w:pStyle w:val="Para1"/>
        <w:numPr>
          <w:ilvl w:val="0"/>
          <w:numId w:val="0"/>
        </w:numPr>
        <w:tabs>
          <w:tab w:val="left" w:pos="0"/>
          <w:tab w:val="left" w:pos="426"/>
        </w:tabs>
        <w:spacing w:before="120"/>
        <w:rPr>
          <w:rFonts w:hAnsi="Times New Roman" w:cs="Times New Roman"/>
          <w:u w:val="single"/>
        </w:rPr>
      </w:pPr>
      <w:r w:rsidRPr="000F1B66">
        <w:rPr>
          <w:rFonts w:hAnsi="Times New Roman" w:cs="Times New Roman"/>
          <w:u w:val="single"/>
        </w:rPr>
        <w:t xml:space="preserve">Mandatory Considerations </w:t>
      </w:r>
    </w:p>
    <w:p w14:paraId="526029F1" w14:textId="77777777" w:rsidR="00A2136F" w:rsidRPr="000F1B66" w:rsidRDefault="000F1B66" w:rsidP="00DB11EA">
      <w:pPr>
        <w:pStyle w:val="Para1"/>
        <w:numPr>
          <w:ilvl w:val="0"/>
          <w:numId w:val="0"/>
        </w:numPr>
        <w:tabs>
          <w:tab w:val="clear" w:pos="567"/>
          <w:tab w:val="left" w:pos="0"/>
          <w:tab w:val="left" w:pos="426"/>
        </w:tabs>
        <w:rPr>
          <w:rFonts w:hAnsi="Times New Roman" w:cs="Times New Roman"/>
          <w:b/>
        </w:rPr>
      </w:pPr>
      <w:r w:rsidRPr="000F1B66">
        <w:rPr>
          <w:rFonts w:hAnsi="Times New Roman" w:cs="Times New Roman"/>
          <w:b/>
        </w:rPr>
        <w:t>s.73(1)(a) the extent to which the application, if approved, would affect the cultural heritage signi</w:t>
      </w:r>
      <w:r w:rsidR="00F15027">
        <w:rPr>
          <w:rFonts w:hAnsi="Times New Roman" w:cs="Times New Roman"/>
          <w:b/>
        </w:rPr>
        <w:t>ficance of the registered place</w:t>
      </w:r>
    </w:p>
    <w:p w14:paraId="4E35F08C" w14:textId="77777777" w:rsidR="00234A94" w:rsidRPr="00234A94" w:rsidRDefault="00234A94" w:rsidP="00DB11EA">
      <w:pPr>
        <w:pStyle w:val="Para1"/>
        <w:numPr>
          <w:ilvl w:val="0"/>
          <w:numId w:val="0"/>
        </w:numPr>
        <w:tabs>
          <w:tab w:val="left" w:pos="426"/>
        </w:tabs>
        <w:spacing w:line="240" w:lineRule="auto"/>
        <w:rPr>
          <w:rFonts w:hAnsi="Times New Roman" w:cs="Times New Roman"/>
          <w:i/>
          <w:iCs/>
          <w:color w:val="auto"/>
          <w:u w:color="8064A2"/>
        </w:rPr>
      </w:pPr>
      <w:r w:rsidRPr="0094130F">
        <w:rPr>
          <w:rFonts w:hAnsi="Times New Roman" w:cs="Times New Roman"/>
          <w:i/>
          <w:iCs/>
          <w:color w:val="auto"/>
        </w:rPr>
        <w:t>Submissions and evidence</w:t>
      </w:r>
    </w:p>
    <w:p w14:paraId="0659F737" w14:textId="77777777" w:rsidR="005A0D78" w:rsidRPr="00D34F5A" w:rsidRDefault="009677DC" w:rsidP="009E1AA0">
      <w:pPr>
        <w:pStyle w:val="ListParagraph"/>
        <w:numPr>
          <w:ilvl w:val="0"/>
          <w:numId w:val="8"/>
        </w:numPr>
        <w:tabs>
          <w:tab w:val="left" w:pos="567"/>
        </w:tabs>
        <w:spacing w:before="120" w:after="120"/>
        <w:ind w:left="567" w:hanging="567"/>
        <w:contextualSpacing w:val="0"/>
        <w:jc w:val="both"/>
        <w:rPr>
          <w:rFonts w:hAnsi="Times New Roman" w:cs="Times New Roman"/>
          <w:u w:color="8064A2"/>
        </w:rPr>
      </w:pPr>
      <w:r w:rsidRPr="00DB11EA">
        <w:rPr>
          <w:rFonts w:hAnsi="Times New Roman" w:cs="Times New Roman"/>
        </w:rPr>
        <w:t xml:space="preserve">The Executive Director submitted </w:t>
      </w:r>
      <w:r w:rsidR="00061C33" w:rsidRPr="00DB11EA">
        <w:rPr>
          <w:rFonts w:hAnsi="Times New Roman" w:cs="Times New Roman"/>
          <w:u w:color="8064A2"/>
        </w:rPr>
        <w:t>that the proposed works would</w:t>
      </w:r>
      <w:r w:rsidR="003E114D" w:rsidRPr="00DB11EA">
        <w:rPr>
          <w:rFonts w:hAnsi="Times New Roman" w:cs="Times New Roman"/>
          <w:u w:color="8064A2"/>
        </w:rPr>
        <w:t xml:space="preserve"> have a detrimental impact on the cultural heritage significance of the Place and</w:t>
      </w:r>
      <w:r w:rsidR="000D768F" w:rsidRPr="00DB11EA">
        <w:rPr>
          <w:rFonts w:hAnsi="Times New Roman" w:cs="Times New Roman"/>
          <w:u w:color="8064A2"/>
        </w:rPr>
        <w:t xml:space="preserve"> submitted</w:t>
      </w:r>
      <w:r w:rsidR="003E114D" w:rsidRPr="00DB11EA">
        <w:rPr>
          <w:rFonts w:hAnsi="Times New Roman" w:cs="Times New Roman"/>
        </w:rPr>
        <w:t xml:space="preserve"> </w:t>
      </w:r>
      <w:r w:rsidR="000D768F" w:rsidRPr="00DB11EA">
        <w:rPr>
          <w:rFonts w:hAnsi="Times New Roman" w:cs="Times New Roman"/>
        </w:rPr>
        <w:t xml:space="preserve">that </w:t>
      </w:r>
      <w:r w:rsidRPr="00DB11EA">
        <w:rPr>
          <w:rFonts w:hAnsi="Times New Roman" w:cs="Times New Roman"/>
        </w:rPr>
        <w:t>the proposed works</w:t>
      </w:r>
      <w:r w:rsidR="002C3AB3" w:rsidRPr="00DB11EA">
        <w:rPr>
          <w:rFonts w:hAnsi="Times New Roman" w:cs="Times New Roman"/>
        </w:rPr>
        <w:t xml:space="preserve"> </w:t>
      </w:r>
      <w:r w:rsidRPr="00DB11EA">
        <w:rPr>
          <w:rFonts w:hAnsi="Times New Roman" w:cs="Times New Roman"/>
        </w:rPr>
        <w:t>are not ap</w:t>
      </w:r>
      <w:r w:rsidR="00061C33" w:rsidRPr="00DB11EA">
        <w:rPr>
          <w:rFonts w:hAnsi="Times New Roman" w:cs="Times New Roman"/>
        </w:rPr>
        <w:t>propriate considering the iconic qualities</w:t>
      </w:r>
      <w:r w:rsidRPr="00DB11EA">
        <w:rPr>
          <w:rFonts w:hAnsi="Times New Roman" w:cs="Times New Roman"/>
        </w:rPr>
        <w:t xml:space="preserve"> of the Place</w:t>
      </w:r>
      <w:r w:rsidR="0094130F" w:rsidRPr="00DB11EA">
        <w:rPr>
          <w:rFonts w:hAnsi="Times New Roman" w:cs="Times New Roman"/>
          <w:u w:color="8064A2"/>
        </w:rPr>
        <w:t xml:space="preserve">. </w:t>
      </w:r>
      <w:r w:rsidR="00DD5023" w:rsidRPr="00DB11EA">
        <w:rPr>
          <w:rFonts w:hAnsi="Times New Roman" w:cs="Times New Roman"/>
          <w:u w:color="8064A2"/>
        </w:rPr>
        <w:t>Mr Mun</w:t>
      </w:r>
      <w:r w:rsidR="00B31AB8" w:rsidRPr="00DB11EA">
        <w:rPr>
          <w:rFonts w:hAnsi="Times New Roman" w:cs="Times New Roman"/>
          <w:u w:color="8064A2"/>
        </w:rPr>
        <w:t>t submitted that</w:t>
      </w:r>
      <w:r w:rsidR="003C23A5">
        <w:rPr>
          <w:rFonts w:hAnsi="Times New Roman" w:cs="Times New Roman"/>
          <w:u w:color="8064A2"/>
        </w:rPr>
        <w:t>,</w:t>
      </w:r>
      <w:r w:rsidR="00B31AB8" w:rsidRPr="00DB11EA">
        <w:rPr>
          <w:rFonts w:hAnsi="Times New Roman" w:cs="Times New Roman"/>
          <w:u w:color="8064A2"/>
        </w:rPr>
        <w:t xml:space="preserve"> in essence</w:t>
      </w:r>
      <w:r w:rsidR="003C23A5">
        <w:rPr>
          <w:rFonts w:hAnsi="Times New Roman" w:cs="Times New Roman"/>
          <w:u w:color="8064A2"/>
        </w:rPr>
        <w:t>,</w:t>
      </w:r>
      <w:r w:rsidR="00B31AB8" w:rsidRPr="00DB11EA">
        <w:rPr>
          <w:rFonts w:hAnsi="Times New Roman" w:cs="Times New Roman"/>
          <w:u w:color="8064A2"/>
        </w:rPr>
        <w:t xml:space="preserve"> the Executive Director’s concerns were that the significance of the Place and the </w:t>
      </w:r>
      <w:r w:rsidR="004774D6">
        <w:rPr>
          <w:rFonts w:hAnsi="Times New Roman" w:cs="Times New Roman"/>
          <w:u w:color="8064A2"/>
        </w:rPr>
        <w:t>Nylex Sign</w:t>
      </w:r>
      <w:r w:rsidR="00B31AB8" w:rsidRPr="00DB11EA">
        <w:rPr>
          <w:rFonts w:hAnsi="Times New Roman" w:cs="Times New Roman"/>
          <w:u w:color="8064A2"/>
        </w:rPr>
        <w:t xml:space="preserve"> would be adversely affected </w:t>
      </w:r>
      <w:r w:rsidR="006A6049" w:rsidRPr="00DB11EA">
        <w:rPr>
          <w:rFonts w:hAnsi="Times New Roman" w:cs="Times New Roman"/>
          <w:u w:color="8064A2"/>
        </w:rPr>
        <w:t>by</w:t>
      </w:r>
      <w:r w:rsidR="00D34F5A">
        <w:rPr>
          <w:rFonts w:hAnsi="Times New Roman" w:cs="Times New Roman"/>
          <w:u w:color="8064A2"/>
        </w:rPr>
        <w:t xml:space="preserve"> </w:t>
      </w:r>
      <w:r w:rsidR="00D34F5A" w:rsidRPr="009E1AA0">
        <w:rPr>
          <w:rFonts w:hAnsi="Times New Roman" w:cs="Times New Roman"/>
          <w:u w:color="8064A2"/>
        </w:rPr>
        <w:t>t</w:t>
      </w:r>
      <w:r w:rsidR="00B31AB8" w:rsidRPr="009E1AA0">
        <w:rPr>
          <w:rFonts w:hAnsi="Times New Roman" w:cs="Times New Roman"/>
          <w:u w:color="8064A2"/>
        </w:rPr>
        <w:t>he height of the two proposed towers and their massing and relationship to heritage</w:t>
      </w:r>
      <w:r w:rsidR="00170A35">
        <w:rPr>
          <w:rFonts w:hAnsi="Times New Roman" w:cs="Times New Roman"/>
          <w:u w:color="8064A2"/>
        </w:rPr>
        <w:t xml:space="preserve"> </w:t>
      </w:r>
      <w:r w:rsidR="00B31AB8" w:rsidRPr="009E1AA0">
        <w:rPr>
          <w:rFonts w:hAnsi="Times New Roman" w:cs="Times New Roman"/>
          <w:u w:color="8064A2"/>
        </w:rPr>
        <w:t>building B4</w:t>
      </w:r>
      <w:r w:rsidR="00CF46F6">
        <w:rPr>
          <w:rFonts w:hAnsi="Times New Roman" w:cs="Times New Roman"/>
          <w:u w:color="8064A2"/>
        </w:rPr>
        <w:t xml:space="preserve"> and the remainder of the Place; by </w:t>
      </w:r>
      <w:r w:rsidR="00954F2F" w:rsidRPr="009E1AA0">
        <w:rPr>
          <w:rFonts w:hAnsi="Times New Roman" w:cs="Times New Roman"/>
          <w:u w:color="8064A2"/>
        </w:rPr>
        <w:t>t</w:t>
      </w:r>
      <w:r w:rsidR="00B31AB8" w:rsidRPr="009E1AA0">
        <w:rPr>
          <w:rFonts w:hAnsi="Times New Roman" w:cs="Times New Roman"/>
          <w:u w:color="8064A2"/>
        </w:rPr>
        <w:t>he mass and position of the proposed development</w:t>
      </w:r>
      <w:r w:rsidR="009E1AA0" w:rsidRPr="009E1AA0">
        <w:rPr>
          <w:rFonts w:hAnsi="Times New Roman" w:cs="Times New Roman"/>
          <w:u w:color="8064A2"/>
        </w:rPr>
        <w:t xml:space="preserve"> in relation to the Place</w:t>
      </w:r>
      <w:r w:rsidR="00B31AB8" w:rsidRPr="009E1AA0">
        <w:rPr>
          <w:rFonts w:hAnsi="Times New Roman" w:cs="Times New Roman"/>
          <w:u w:color="8064A2"/>
        </w:rPr>
        <w:t>, and in particu</w:t>
      </w:r>
      <w:r w:rsidR="009E1AA0">
        <w:rPr>
          <w:rFonts w:hAnsi="Times New Roman" w:cs="Times New Roman"/>
          <w:u w:color="8064A2"/>
        </w:rPr>
        <w:t>lar of the two proposed towers</w:t>
      </w:r>
      <w:r w:rsidR="00CF46F6">
        <w:rPr>
          <w:rFonts w:hAnsi="Times New Roman" w:cs="Times New Roman"/>
          <w:u w:color="8064A2"/>
        </w:rPr>
        <w:t>;</w:t>
      </w:r>
      <w:r w:rsidR="00B31AB8" w:rsidRPr="009E1AA0">
        <w:rPr>
          <w:rFonts w:hAnsi="Times New Roman" w:cs="Times New Roman"/>
          <w:u w:color="8064A2"/>
        </w:rPr>
        <w:t xml:space="preserve"> </w:t>
      </w:r>
      <w:r w:rsidR="009E1AA0">
        <w:rPr>
          <w:rFonts w:hAnsi="Times New Roman" w:cs="Times New Roman"/>
          <w:u w:color="8064A2"/>
        </w:rPr>
        <w:t>and,</w:t>
      </w:r>
      <w:r w:rsidR="00CF46F6">
        <w:rPr>
          <w:rFonts w:hAnsi="Times New Roman" w:cs="Times New Roman"/>
          <w:u w:color="8064A2"/>
        </w:rPr>
        <w:t xml:space="preserve"> by</w:t>
      </w:r>
      <w:r w:rsidR="00954F2F" w:rsidRPr="009E1AA0">
        <w:rPr>
          <w:rFonts w:hAnsi="Times New Roman" w:cs="Times New Roman"/>
          <w:u w:color="8064A2"/>
        </w:rPr>
        <w:t xml:space="preserve"> t</w:t>
      </w:r>
      <w:r w:rsidR="00B31AB8" w:rsidRPr="009E1AA0">
        <w:rPr>
          <w:rFonts w:hAnsi="Times New Roman" w:cs="Times New Roman"/>
          <w:u w:color="8064A2"/>
        </w:rPr>
        <w:t>he absence of conservation or adaptation works for heri</w:t>
      </w:r>
      <w:r w:rsidR="009E1AA0">
        <w:rPr>
          <w:rFonts w:hAnsi="Times New Roman" w:cs="Times New Roman"/>
          <w:u w:color="8064A2"/>
        </w:rPr>
        <w:t xml:space="preserve">tage buildings within </w:t>
      </w:r>
      <w:r w:rsidR="00954F2F" w:rsidRPr="009E1AA0">
        <w:rPr>
          <w:rFonts w:hAnsi="Times New Roman" w:cs="Times New Roman"/>
          <w:u w:color="8064A2"/>
        </w:rPr>
        <w:t>the Place.</w:t>
      </w:r>
    </w:p>
    <w:p w14:paraId="446DAFFA" w14:textId="77777777" w:rsidR="001A64BF" w:rsidRDefault="00F233A6" w:rsidP="001971C2">
      <w:pPr>
        <w:pStyle w:val="Para1"/>
        <w:numPr>
          <w:ilvl w:val="0"/>
          <w:numId w:val="8"/>
        </w:numPr>
        <w:spacing w:before="120" w:line="240" w:lineRule="auto"/>
        <w:ind w:left="567" w:hanging="567"/>
        <w:rPr>
          <w:rFonts w:hAnsi="Times New Roman" w:cs="Times New Roman"/>
          <w:color w:val="auto"/>
          <w:u w:color="8064A2"/>
        </w:rPr>
      </w:pPr>
      <w:r>
        <w:rPr>
          <w:rFonts w:hAnsi="Times New Roman" w:cs="Times New Roman"/>
          <w:color w:val="auto"/>
          <w:u w:color="8064A2"/>
        </w:rPr>
        <w:t>Yarra</w:t>
      </w:r>
      <w:r w:rsidR="005A0D78">
        <w:rPr>
          <w:rFonts w:hAnsi="Times New Roman" w:cs="Times New Roman"/>
          <w:color w:val="auto"/>
          <w:u w:color="8064A2"/>
        </w:rPr>
        <w:t xml:space="preserve"> </w:t>
      </w:r>
      <w:r w:rsidR="000C13DA">
        <w:rPr>
          <w:rFonts w:hAnsi="Times New Roman" w:cs="Times New Roman"/>
          <w:color w:val="auto"/>
          <w:u w:color="8064A2"/>
        </w:rPr>
        <w:t>submitted that the</w:t>
      </w:r>
      <w:r w:rsidR="00800A9C">
        <w:rPr>
          <w:rFonts w:hAnsi="Times New Roman" w:cs="Times New Roman"/>
          <w:color w:val="auto"/>
          <w:u w:color="8064A2"/>
        </w:rPr>
        <w:t xml:space="preserve"> height and massing of the</w:t>
      </w:r>
      <w:r w:rsidR="000C13DA">
        <w:rPr>
          <w:rFonts w:hAnsi="Times New Roman" w:cs="Times New Roman"/>
          <w:color w:val="auto"/>
          <w:u w:color="8064A2"/>
        </w:rPr>
        <w:t xml:space="preserve"> </w:t>
      </w:r>
      <w:r w:rsidR="00CF3CEB">
        <w:rPr>
          <w:rFonts w:hAnsi="Times New Roman" w:cs="Times New Roman"/>
          <w:color w:val="auto"/>
          <w:u w:color="8064A2"/>
        </w:rPr>
        <w:t xml:space="preserve">proposed works would </w:t>
      </w:r>
      <w:r w:rsidR="00800A9C">
        <w:rPr>
          <w:rFonts w:hAnsi="Times New Roman" w:cs="Times New Roman"/>
          <w:color w:val="auto"/>
          <w:u w:color="8064A2"/>
        </w:rPr>
        <w:t>have an unacceptable</w:t>
      </w:r>
      <w:r w:rsidR="00CF3CEB">
        <w:rPr>
          <w:rFonts w:hAnsi="Times New Roman" w:cs="Times New Roman"/>
          <w:color w:val="auto"/>
          <w:u w:color="8064A2"/>
        </w:rPr>
        <w:t xml:space="preserve"> impact on the </w:t>
      </w:r>
      <w:r w:rsidR="00800A9C">
        <w:rPr>
          <w:rFonts w:hAnsi="Times New Roman" w:cs="Times New Roman"/>
          <w:color w:val="auto"/>
          <w:u w:color="8064A2"/>
        </w:rPr>
        <w:t>landmark qualities</w:t>
      </w:r>
      <w:r w:rsidR="00707C9F">
        <w:rPr>
          <w:rFonts w:hAnsi="Times New Roman" w:cs="Times New Roman"/>
          <w:color w:val="auto"/>
          <w:u w:color="8064A2"/>
        </w:rPr>
        <w:t xml:space="preserve"> of the Place</w:t>
      </w:r>
      <w:r w:rsidR="00CF3CEB">
        <w:rPr>
          <w:rFonts w:hAnsi="Times New Roman" w:cs="Times New Roman"/>
          <w:color w:val="auto"/>
          <w:u w:color="8064A2"/>
        </w:rPr>
        <w:t xml:space="preserve"> </w:t>
      </w:r>
      <w:r w:rsidR="00707C9F">
        <w:rPr>
          <w:rFonts w:hAnsi="Times New Roman" w:cs="Times New Roman"/>
          <w:color w:val="auto"/>
          <w:u w:color="8064A2"/>
        </w:rPr>
        <w:t xml:space="preserve">and </w:t>
      </w:r>
      <w:r w:rsidR="00800A9C">
        <w:rPr>
          <w:rFonts w:hAnsi="Times New Roman" w:cs="Times New Roman"/>
          <w:color w:val="auto"/>
          <w:u w:color="8064A2"/>
        </w:rPr>
        <w:t>its distinctive industrial aesthetic</w:t>
      </w:r>
      <w:r w:rsidR="00707C9F">
        <w:rPr>
          <w:rFonts w:hAnsi="Times New Roman" w:cs="Times New Roman"/>
          <w:color w:val="auto"/>
          <w:u w:color="8064A2"/>
        </w:rPr>
        <w:t>.</w:t>
      </w:r>
      <w:r w:rsidR="00AF454D">
        <w:rPr>
          <w:rFonts w:hAnsi="Times New Roman" w:cs="Times New Roman"/>
          <w:color w:val="auto"/>
          <w:u w:color="8064A2"/>
        </w:rPr>
        <w:t xml:space="preserve"> </w:t>
      </w:r>
      <w:r>
        <w:rPr>
          <w:rFonts w:hAnsi="Times New Roman" w:cs="Times New Roman"/>
          <w:color w:val="auto"/>
          <w:u w:color="8064A2"/>
        </w:rPr>
        <w:t>Yarra</w:t>
      </w:r>
      <w:r w:rsidR="00AF454D">
        <w:rPr>
          <w:rFonts w:hAnsi="Times New Roman" w:cs="Times New Roman"/>
          <w:color w:val="auto"/>
          <w:u w:color="8064A2"/>
        </w:rPr>
        <w:t xml:space="preserve"> further submitted that the </w:t>
      </w:r>
      <w:r w:rsidR="006D47A7">
        <w:rPr>
          <w:rFonts w:hAnsi="Times New Roman" w:cs="Times New Roman"/>
          <w:color w:val="auto"/>
          <w:u w:color="8064A2"/>
        </w:rPr>
        <w:t>loss of fabric (B1, B2, B3, B4) would have an unacceptable impact on the cultural heritage significance of the Place</w:t>
      </w:r>
      <w:r w:rsidR="00CF0FF2">
        <w:rPr>
          <w:rFonts w:hAnsi="Times New Roman" w:cs="Times New Roman"/>
          <w:color w:val="auto"/>
          <w:u w:color="8064A2"/>
        </w:rPr>
        <w:t>. It was submitted that consideration should be given to cumulative impacts and the effects on each basis of significance.</w:t>
      </w:r>
    </w:p>
    <w:p w14:paraId="3F04F019" w14:textId="77777777" w:rsidR="008C60CC" w:rsidRDefault="001A64BF" w:rsidP="001971C2">
      <w:pPr>
        <w:pStyle w:val="Para1"/>
        <w:numPr>
          <w:ilvl w:val="0"/>
          <w:numId w:val="8"/>
        </w:numPr>
        <w:spacing w:before="120" w:line="240" w:lineRule="auto"/>
        <w:ind w:left="567" w:hanging="567"/>
        <w:rPr>
          <w:rFonts w:hAnsi="Times New Roman" w:cs="Times New Roman"/>
          <w:color w:val="auto"/>
          <w:u w:color="8064A2"/>
        </w:rPr>
      </w:pPr>
      <w:r>
        <w:rPr>
          <w:rFonts w:hAnsi="Times New Roman" w:cs="Times New Roman"/>
          <w:color w:val="auto"/>
          <w:u w:color="8064A2"/>
        </w:rPr>
        <w:t xml:space="preserve">In his statement of evidence, </w:t>
      </w:r>
      <w:r w:rsidR="00F85F9A">
        <w:rPr>
          <w:rFonts w:hAnsi="Times New Roman" w:cs="Times New Roman"/>
          <w:color w:val="auto"/>
          <w:u w:color="8064A2"/>
        </w:rPr>
        <w:t xml:space="preserve">Mr </w:t>
      </w:r>
      <w:r w:rsidR="00F233A6">
        <w:rPr>
          <w:rFonts w:hAnsi="Times New Roman" w:cs="Times New Roman"/>
          <w:color w:val="auto"/>
          <w:u w:color="8064A2"/>
        </w:rPr>
        <w:t>Trethowan</w:t>
      </w:r>
      <w:r w:rsidR="00F85F9A">
        <w:rPr>
          <w:rFonts w:hAnsi="Times New Roman" w:cs="Times New Roman"/>
          <w:color w:val="auto"/>
          <w:u w:color="8064A2"/>
        </w:rPr>
        <w:t xml:space="preserve"> </w:t>
      </w:r>
      <w:r w:rsidR="00667F16">
        <w:rPr>
          <w:rFonts w:hAnsi="Times New Roman" w:cs="Times New Roman"/>
          <w:color w:val="auto"/>
          <w:u w:color="8064A2"/>
        </w:rPr>
        <w:t xml:space="preserve">expressed the view </w:t>
      </w:r>
      <w:r w:rsidR="00F85F9A">
        <w:rPr>
          <w:rFonts w:hAnsi="Times New Roman" w:cs="Times New Roman"/>
          <w:color w:val="auto"/>
          <w:u w:color="8064A2"/>
        </w:rPr>
        <w:t xml:space="preserve">that </w:t>
      </w:r>
      <w:r w:rsidR="009420D5">
        <w:rPr>
          <w:rFonts w:hAnsi="Times New Roman" w:cs="Times New Roman"/>
          <w:color w:val="auto"/>
          <w:u w:color="8064A2"/>
        </w:rPr>
        <w:t>the height, size and massing of the proposed works would have an unacceptable impact on the cultural heritage values of the Place</w:t>
      </w:r>
      <w:r w:rsidR="00314988">
        <w:rPr>
          <w:rFonts w:hAnsi="Times New Roman" w:cs="Times New Roman"/>
          <w:color w:val="auto"/>
          <w:u w:color="8064A2"/>
        </w:rPr>
        <w:t>, would directly compete with the 1960s silos</w:t>
      </w:r>
      <w:r w:rsidR="009420D5">
        <w:rPr>
          <w:rFonts w:hAnsi="Times New Roman" w:cs="Times New Roman"/>
          <w:color w:val="auto"/>
          <w:u w:color="8064A2"/>
        </w:rPr>
        <w:t xml:space="preserve"> and</w:t>
      </w:r>
      <w:r w:rsidR="00314988">
        <w:rPr>
          <w:rFonts w:hAnsi="Times New Roman" w:cs="Times New Roman"/>
          <w:color w:val="auto"/>
          <w:u w:color="8064A2"/>
        </w:rPr>
        <w:t xml:space="preserve"> could adversely impact on</w:t>
      </w:r>
      <w:r w:rsidR="009420D5">
        <w:rPr>
          <w:rFonts w:hAnsi="Times New Roman" w:cs="Times New Roman"/>
          <w:color w:val="auto"/>
          <w:u w:color="8064A2"/>
        </w:rPr>
        <w:t xml:space="preserve"> the ability of the values of the Place to be appreciated from within </w:t>
      </w:r>
      <w:r w:rsidR="00754FE0">
        <w:rPr>
          <w:rFonts w:hAnsi="Times New Roman" w:cs="Times New Roman"/>
          <w:color w:val="auto"/>
          <w:u w:color="8064A2"/>
        </w:rPr>
        <w:t xml:space="preserve">the </w:t>
      </w:r>
      <w:r w:rsidR="000B48F1">
        <w:rPr>
          <w:rFonts w:hAnsi="Times New Roman" w:cs="Times New Roman"/>
          <w:color w:val="auto"/>
          <w:u w:color="8064A2"/>
        </w:rPr>
        <w:t>Place</w:t>
      </w:r>
      <w:r w:rsidR="00754FE0">
        <w:rPr>
          <w:rFonts w:hAnsi="Times New Roman" w:cs="Times New Roman"/>
          <w:color w:val="auto"/>
          <w:u w:color="8064A2"/>
        </w:rPr>
        <w:t xml:space="preserve"> </w:t>
      </w:r>
      <w:r w:rsidR="009420D5">
        <w:rPr>
          <w:rFonts w:hAnsi="Times New Roman" w:cs="Times New Roman"/>
          <w:color w:val="auto"/>
          <w:u w:color="8064A2"/>
        </w:rPr>
        <w:t>and from without</w:t>
      </w:r>
      <w:r w:rsidR="002D515E" w:rsidRPr="00002107">
        <w:rPr>
          <w:rFonts w:hAnsi="Times New Roman" w:cs="Times New Roman"/>
          <w:color w:val="auto"/>
          <w:u w:color="8064A2"/>
        </w:rPr>
        <w:t>.</w:t>
      </w:r>
      <w:r w:rsidR="001152D2">
        <w:rPr>
          <w:rFonts w:hAnsi="Times New Roman" w:cs="Times New Roman"/>
          <w:color w:val="auto"/>
          <w:u w:color="8064A2"/>
        </w:rPr>
        <w:t xml:space="preserve"> He was </w:t>
      </w:r>
      <w:r w:rsidR="00BB2E0A">
        <w:rPr>
          <w:rFonts w:hAnsi="Times New Roman" w:cs="Times New Roman"/>
          <w:color w:val="auto"/>
          <w:u w:color="8064A2"/>
        </w:rPr>
        <w:t xml:space="preserve">particularly </w:t>
      </w:r>
      <w:r w:rsidR="001152D2">
        <w:rPr>
          <w:rFonts w:hAnsi="Times New Roman" w:cs="Times New Roman"/>
          <w:color w:val="auto"/>
          <w:u w:color="8064A2"/>
        </w:rPr>
        <w:t>critical of the rounded</w:t>
      </w:r>
      <w:r w:rsidR="00A81A5E">
        <w:rPr>
          <w:rFonts w:hAnsi="Times New Roman" w:cs="Times New Roman"/>
          <w:color w:val="auto"/>
          <w:u w:color="8064A2"/>
        </w:rPr>
        <w:t xml:space="preserve"> east-west</w:t>
      </w:r>
      <w:r w:rsidR="001152D2">
        <w:rPr>
          <w:rFonts w:hAnsi="Times New Roman" w:cs="Times New Roman"/>
          <w:color w:val="auto"/>
          <w:u w:color="8064A2"/>
        </w:rPr>
        <w:t xml:space="preserve"> tower shape as being not respectful of the form of the silos (which are the most prominent of the visual elements of the Place when viewed from ou</w:t>
      </w:r>
      <w:r w:rsidR="00BB2E0A">
        <w:rPr>
          <w:rFonts w:hAnsi="Times New Roman" w:cs="Times New Roman"/>
          <w:color w:val="auto"/>
          <w:u w:color="8064A2"/>
        </w:rPr>
        <w:t xml:space="preserve">tside the </w:t>
      </w:r>
      <w:r w:rsidR="00FD3F48">
        <w:rPr>
          <w:rFonts w:hAnsi="Times New Roman" w:cs="Times New Roman"/>
          <w:color w:val="auto"/>
          <w:u w:color="8064A2"/>
        </w:rPr>
        <w:t>Place</w:t>
      </w:r>
      <w:r w:rsidR="003D7487">
        <w:rPr>
          <w:rFonts w:hAnsi="Times New Roman" w:cs="Times New Roman"/>
          <w:color w:val="auto"/>
          <w:u w:color="8064A2"/>
        </w:rPr>
        <w:t>) and described this</w:t>
      </w:r>
      <w:r w:rsidR="00BB2E0A">
        <w:rPr>
          <w:rFonts w:hAnsi="Times New Roman" w:cs="Times New Roman"/>
          <w:color w:val="auto"/>
          <w:u w:color="8064A2"/>
        </w:rPr>
        <w:t xml:space="preserve"> building design</w:t>
      </w:r>
      <w:r w:rsidR="001152D2">
        <w:rPr>
          <w:rFonts w:hAnsi="Times New Roman" w:cs="Times New Roman"/>
          <w:color w:val="auto"/>
          <w:u w:color="8064A2"/>
        </w:rPr>
        <w:t xml:space="preserve"> as ‘featuristic’.</w:t>
      </w:r>
    </w:p>
    <w:p w14:paraId="3B7BC699" w14:textId="77777777" w:rsidR="00F877A7" w:rsidRDefault="008C60CC" w:rsidP="001971C2">
      <w:pPr>
        <w:pStyle w:val="Para1"/>
        <w:numPr>
          <w:ilvl w:val="0"/>
          <w:numId w:val="8"/>
        </w:numPr>
        <w:spacing w:before="120" w:line="240" w:lineRule="auto"/>
        <w:ind w:left="567" w:hanging="567"/>
        <w:rPr>
          <w:rFonts w:hAnsi="Times New Roman" w:cs="Times New Roman"/>
          <w:color w:val="auto"/>
          <w:u w:color="8064A2"/>
        </w:rPr>
      </w:pPr>
      <w:r>
        <w:rPr>
          <w:rFonts w:hAnsi="Times New Roman" w:cs="Times New Roman"/>
          <w:color w:val="auto"/>
          <w:u w:color="8064A2"/>
        </w:rPr>
        <w:t>Mr Coffey</w:t>
      </w:r>
      <w:r w:rsidR="007F4EFA">
        <w:rPr>
          <w:rFonts w:hAnsi="Times New Roman" w:cs="Times New Roman"/>
          <w:color w:val="auto"/>
          <w:u w:color="8064A2"/>
        </w:rPr>
        <w:t xml:space="preserve"> submitted that the proposed works would have a negative impact on the cultural heritage values of the Place.</w:t>
      </w:r>
    </w:p>
    <w:p w14:paraId="167EBB6B" w14:textId="40D675A6" w:rsidR="00F877A7" w:rsidRDefault="00326FB1" w:rsidP="001971C2">
      <w:pPr>
        <w:pStyle w:val="Para1"/>
        <w:numPr>
          <w:ilvl w:val="0"/>
          <w:numId w:val="8"/>
        </w:numPr>
        <w:spacing w:before="120" w:line="240" w:lineRule="auto"/>
        <w:ind w:left="567" w:hanging="567"/>
        <w:rPr>
          <w:rFonts w:hAnsi="Times New Roman" w:cs="Times New Roman"/>
          <w:color w:val="auto"/>
          <w:u w:color="8064A2"/>
        </w:rPr>
      </w:pPr>
      <w:r w:rsidRPr="00F877A7">
        <w:rPr>
          <w:rFonts w:hAnsi="Times New Roman" w:cs="Times New Roman"/>
          <w:color w:val="auto"/>
        </w:rPr>
        <w:t>The Appellant</w:t>
      </w:r>
      <w:r w:rsidR="00734615">
        <w:rPr>
          <w:rFonts w:hAnsi="Times New Roman" w:cs="Times New Roman"/>
          <w:color w:val="auto"/>
        </w:rPr>
        <w:t>’s</w:t>
      </w:r>
      <w:r w:rsidRPr="00F877A7">
        <w:rPr>
          <w:rFonts w:hAnsi="Times New Roman" w:cs="Times New Roman"/>
          <w:color w:val="auto"/>
        </w:rPr>
        <w:t xml:space="preserve"> </w:t>
      </w:r>
      <w:r w:rsidR="00BB2E0A">
        <w:rPr>
          <w:lang w:eastAsia="en-AU"/>
        </w:rPr>
        <w:t>submissions questioned the legality of the first ground of refusal by the Executive Director as well as</w:t>
      </w:r>
      <w:r w:rsidR="00BB2E0A" w:rsidRPr="00F877A7">
        <w:rPr>
          <w:rFonts w:hAnsi="Times New Roman" w:cs="Times New Roman"/>
          <w:lang w:eastAsia="en-AU"/>
        </w:rPr>
        <w:t xml:space="preserve"> the merits of all grounds of refusal. It was said that the first ground was misconstrued as it was not necessary that positive conservation works</w:t>
      </w:r>
      <w:r w:rsidR="00BB2E0A" w:rsidRPr="00F877A7">
        <w:rPr>
          <w:rFonts w:hAnsi="Times New Roman" w:cs="Times New Roman"/>
          <w:color w:val="auto"/>
        </w:rPr>
        <w:t xml:space="preserve"> need form part of any application for</w:t>
      </w:r>
      <w:r w:rsidR="001966BA">
        <w:rPr>
          <w:rFonts w:hAnsi="Times New Roman" w:cs="Times New Roman"/>
          <w:color w:val="auto"/>
        </w:rPr>
        <w:t xml:space="preserve"> a</w:t>
      </w:r>
      <w:r w:rsidR="00BB2E0A" w:rsidRPr="00F877A7">
        <w:rPr>
          <w:rFonts w:hAnsi="Times New Roman" w:cs="Times New Roman"/>
          <w:color w:val="auto"/>
        </w:rPr>
        <w:t xml:space="preserve"> permit</w:t>
      </w:r>
      <w:r w:rsidR="0098441F" w:rsidRPr="00F877A7">
        <w:rPr>
          <w:rFonts w:hAnsi="Times New Roman" w:cs="Times New Roman"/>
          <w:color w:val="auto"/>
        </w:rPr>
        <w:t xml:space="preserve"> or its consideration</w:t>
      </w:r>
      <w:r w:rsidR="00BB2E0A" w:rsidRPr="00F877A7">
        <w:rPr>
          <w:rFonts w:hAnsi="Times New Roman" w:cs="Times New Roman"/>
          <w:color w:val="auto"/>
        </w:rPr>
        <w:t xml:space="preserve">, the Act contemplating that </w:t>
      </w:r>
      <w:r w:rsidR="0098441F" w:rsidRPr="00F877A7">
        <w:rPr>
          <w:rFonts w:hAnsi="Times New Roman" w:cs="Times New Roman"/>
          <w:color w:val="auto"/>
        </w:rPr>
        <w:t xml:space="preserve">permit applications can be sought for </w:t>
      </w:r>
      <w:r w:rsidR="00BB2E0A" w:rsidRPr="00F877A7">
        <w:rPr>
          <w:rFonts w:hAnsi="Times New Roman" w:cs="Times New Roman"/>
          <w:color w:val="auto"/>
        </w:rPr>
        <w:t xml:space="preserve">total demolition of buildings on a site </w:t>
      </w:r>
      <w:r w:rsidR="0098441F" w:rsidRPr="00F877A7">
        <w:rPr>
          <w:rFonts w:hAnsi="Times New Roman" w:cs="Times New Roman"/>
          <w:color w:val="auto"/>
        </w:rPr>
        <w:t xml:space="preserve">and </w:t>
      </w:r>
      <w:r w:rsidR="00BB2E0A" w:rsidRPr="00F877A7">
        <w:rPr>
          <w:rFonts w:hAnsi="Times New Roman" w:cs="Times New Roman"/>
          <w:color w:val="auto"/>
        </w:rPr>
        <w:t xml:space="preserve">might be allowed. Mr Cicero </w:t>
      </w:r>
      <w:r w:rsidR="0098441F" w:rsidRPr="00F877A7">
        <w:rPr>
          <w:rFonts w:hAnsi="Times New Roman" w:cs="Times New Roman"/>
          <w:color w:val="auto"/>
        </w:rPr>
        <w:t xml:space="preserve">also </w:t>
      </w:r>
      <w:r w:rsidRPr="00F877A7">
        <w:rPr>
          <w:rFonts w:hAnsi="Times New Roman" w:cs="Times New Roman"/>
          <w:color w:val="auto"/>
        </w:rPr>
        <w:t>submitted that scale, form and massing of the proposed works would not detrimentally affect the cultural heritage values of the Place</w:t>
      </w:r>
      <w:r w:rsidR="00343785" w:rsidRPr="00F877A7">
        <w:rPr>
          <w:rFonts w:hAnsi="Times New Roman" w:cs="Times New Roman"/>
          <w:color w:val="auto"/>
        </w:rPr>
        <w:t xml:space="preserve"> and that the removal of much of the existing fabric was an acceptable outcome that was contemplated by the existing permit exemptions for the Place</w:t>
      </w:r>
      <w:r w:rsidRPr="00F877A7">
        <w:rPr>
          <w:rFonts w:hAnsi="Times New Roman" w:cs="Times New Roman"/>
          <w:color w:val="auto"/>
        </w:rPr>
        <w:t xml:space="preserve">. </w:t>
      </w:r>
      <w:r w:rsidR="009743DE" w:rsidRPr="00F877A7">
        <w:rPr>
          <w:rFonts w:hAnsi="Times New Roman" w:cs="Times New Roman"/>
          <w:color w:val="auto"/>
        </w:rPr>
        <w:t>T</w:t>
      </w:r>
      <w:r w:rsidR="00B123F9" w:rsidRPr="00F877A7">
        <w:rPr>
          <w:rFonts w:hAnsi="Times New Roman" w:cs="Times New Roman"/>
          <w:color w:val="auto"/>
        </w:rPr>
        <w:t xml:space="preserve">he Appellant </w:t>
      </w:r>
      <w:r w:rsidR="0055593E" w:rsidRPr="00F877A7">
        <w:rPr>
          <w:rFonts w:hAnsi="Times New Roman" w:cs="Times New Roman"/>
          <w:color w:val="auto"/>
        </w:rPr>
        <w:t xml:space="preserve">relied on the evidence of </w:t>
      </w:r>
      <w:r w:rsidR="00E374DB" w:rsidRPr="00F877A7">
        <w:rPr>
          <w:rFonts w:hAnsi="Times New Roman" w:cs="Times New Roman"/>
          <w:color w:val="auto"/>
        </w:rPr>
        <w:t>its expert witnesses</w:t>
      </w:r>
      <w:r w:rsidR="00BA6FED" w:rsidRPr="00F877A7">
        <w:rPr>
          <w:rFonts w:hAnsi="Times New Roman" w:cs="Times New Roman"/>
          <w:color w:val="auto"/>
        </w:rPr>
        <w:t xml:space="preserve"> </w:t>
      </w:r>
      <w:r w:rsidR="0055593E" w:rsidRPr="00F877A7">
        <w:rPr>
          <w:rFonts w:hAnsi="Times New Roman" w:cs="Times New Roman"/>
          <w:color w:val="auto"/>
        </w:rPr>
        <w:t xml:space="preserve">in stating that </w:t>
      </w:r>
      <w:r w:rsidR="00813B77" w:rsidRPr="00F877A7">
        <w:rPr>
          <w:rFonts w:hAnsi="Times New Roman" w:cs="Times New Roman"/>
          <w:color w:val="auto"/>
        </w:rPr>
        <w:t>the proposed works are acceptable in terms of the</w:t>
      </w:r>
      <w:r w:rsidR="00C743C7" w:rsidRPr="00F877A7">
        <w:rPr>
          <w:rFonts w:hAnsi="Times New Roman" w:cs="Times New Roman"/>
          <w:color w:val="auto"/>
        </w:rPr>
        <w:t xml:space="preserve"> impact on the</w:t>
      </w:r>
      <w:r w:rsidR="00813B77" w:rsidRPr="00F877A7">
        <w:rPr>
          <w:rFonts w:hAnsi="Times New Roman" w:cs="Times New Roman"/>
          <w:color w:val="auto"/>
        </w:rPr>
        <w:t xml:space="preserve"> cultural heritage values of the Place</w:t>
      </w:r>
      <w:r w:rsidR="008926AE" w:rsidRPr="00F877A7">
        <w:rPr>
          <w:rFonts w:hAnsi="Times New Roman" w:cs="Times New Roman"/>
          <w:color w:val="auto"/>
        </w:rPr>
        <w:t xml:space="preserve">. The Appellant </w:t>
      </w:r>
      <w:r w:rsidR="00D3354C" w:rsidRPr="00F877A7">
        <w:rPr>
          <w:rFonts w:hAnsi="Times New Roman" w:cs="Times New Roman"/>
          <w:color w:val="auto"/>
        </w:rPr>
        <w:t xml:space="preserve">further </w:t>
      </w:r>
      <w:r w:rsidR="008926AE" w:rsidRPr="00F877A7">
        <w:rPr>
          <w:rFonts w:hAnsi="Times New Roman" w:cs="Times New Roman"/>
          <w:color w:val="auto"/>
        </w:rPr>
        <w:t xml:space="preserve">submitted that </w:t>
      </w:r>
      <w:r w:rsidR="00B46886" w:rsidRPr="00F877A7">
        <w:rPr>
          <w:rFonts w:hAnsi="Times New Roman" w:cs="Times New Roman"/>
          <w:color w:val="auto"/>
        </w:rPr>
        <w:t xml:space="preserve">the proposed works would not </w:t>
      </w:r>
      <w:r w:rsidR="00856AC2" w:rsidRPr="00F877A7">
        <w:rPr>
          <w:rFonts w:hAnsi="Times New Roman" w:cs="Times New Roman"/>
          <w:color w:val="auto"/>
        </w:rPr>
        <w:t>compromise the industrial aesthetic of the Place</w:t>
      </w:r>
      <w:r w:rsidR="008D1707" w:rsidRPr="00F877A7">
        <w:rPr>
          <w:rFonts w:hAnsi="Times New Roman" w:cs="Times New Roman"/>
          <w:color w:val="auto"/>
        </w:rPr>
        <w:t>.</w:t>
      </w:r>
      <w:r w:rsidR="008926AE" w:rsidRPr="00F877A7">
        <w:rPr>
          <w:rFonts w:hAnsi="Times New Roman" w:cs="Times New Roman"/>
          <w:color w:val="auto"/>
        </w:rPr>
        <w:t xml:space="preserve"> </w:t>
      </w:r>
      <w:r w:rsidR="00BB2E0A" w:rsidRPr="00F877A7">
        <w:rPr>
          <w:rFonts w:hAnsi="Times New Roman" w:cs="Times New Roman"/>
          <w:color w:val="auto"/>
        </w:rPr>
        <w:t>Mr Cicero also submitted that the scale of new works were not dissimilar to major new works allowed at other former industrial sites.</w:t>
      </w:r>
    </w:p>
    <w:p w14:paraId="16E8B790" w14:textId="6BE5638F" w:rsidR="00F877A7" w:rsidRDefault="00570A83" w:rsidP="001971C2">
      <w:pPr>
        <w:pStyle w:val="Para1"/>
        <w:numPr>
          <w:ilvl w:val="0"/>
          <w:numId w:val="8"/>
        </w:numPr>
        <w:spacing w:before="120" w:line="240" w:lineRule="auto"/>
        <w:ind w:left="567" w:hanging="567"/>
        <w:rPr>
          <w:rFonts w:hAnsi="Times New Roman" w:cs="Times New Roman"/>
          <w:color w:val="auto"/>
          <w:u w:color="8064A2"/>
        </w:rPr>
      </w:pPr>
      <w:r w:rsidRPr="00F877A7">
        <w:rPr>
          <w:rFonts w:hAnsi="Times New Roman" w:cs="Times New Roman"/>
        </w:rPr>
        <w:t xml:space="preserve">Mr </w:t>
      </w:r>
      <w:r w:rsidR="00002107" w:rsidRPr="00F877A7">
        <w:rPr>
          <w:rFonts w:hAnsi="Times New Roman" w:cs="Times New Roman"/>
        </w:rPr>
        <w:t>Lovell</w:t>
      </w:r>
      <w:r w:rsidR="007A13A0" w:rsidRPr="00F877A7">
        <w:rPr>
          <w:rFonts w:hAnsi="Times New Roman" w:cs="Times New Roman"/>
        </w:rPr>
        <w:t xml:space="preserve"> stated </w:t>
      </w:r>
      <w:r w:rsidR="00C96558" w:rsidRPr="00F877A7">
        <w:rPr>
          <w:rFonts w:hAnsi="Times New Roman" w:cs="Times New Roman"/>
        </w:rPr>
        <w:t xml:space="preserve">in his evidence </w:t>
      </w:r>
      <w:r w:rsidR="00B928B5" w:rsidRPr="00F877A7">
        <w:rPr>
          <w:rFonts w:hAnsi="Times New Roman" w:cs="Times New Roman"/>
        </w:rPr>
        <w:t>that</w:t>
      </w:r>
      <w:r w:rsidR="00002107" w:rsidRPr="00F877A7">
        <w:rPr>
          <w:rFonts w:hAnsi="Times New Roman" w:cs="Times New Roman"/>
        </w:rPr>
        <w:t xml:space="preserve"> </w:t>
      </w:r>
      <w:r w:rsidR="00326FB1" w:rsidRPr="00F877A7">
        <w:rPr>
          <w:rFonts w:hAnsi="Times New Roman" w:cs="Times New Roman"/>
        </w:rPr>
        <w:t xml:space="preserve">although the proposed works would result in a </w:t>
      </w:r>
      <w:r w:rsidR="00F11105" w:rsidRPr="00F877A7">
        <w:rPr>
          <w:rFonts w:hAnsi="Times New Roman" w:cs="Times New Roman"/>
        </w:rPr>
        <w:t>‘</w:t>
      </w:r>
      <w:r w:rsidR="00326FB1" w:rsidRPr="00F877A7">
        <w:rPr>
          <w:rFonts w:hAnsi="Times New Roman" w:cs="Times New Roman"/>
        </w:rPr>
        <w:t>contrast in scale</w:t>
      </w:r>
      <w:r w:rsidR="00F11105" w:rsidRPr="00F877A7">
        <w:rPr>
          <w:rFonts w:hAnsi="Times New Roman" w:cs="Times New Roman"/>
        </w:rPr>
        <w:t>’</w:t>
      </w:r>
      <w:r w:rsidR="00A8146E" w:rsidRPr="00F877A7">
        <w:rPr>
          <w:rFonts w:hAnsi="Times New Roman" w:cs="Times New Roman"/>
        </w:rPr>
        <w:t xml:space="preserve"> at the Place</w:t>
      </w:r>
      <w:r w:rsidR="00343785" w:rsidRPr="00F877A7">
        <w:rPr>
          <w:rFonts w:hAnsi="Times New Roman" w:cs="Times New Roman"/>
        </w:rPr>
        <w:t xml:space="preserve"> and alter the setting of the buildings within the Place</w:t>
      </w:r>
      <w:r w:rsidR="00326FB1" w:rsidRPr="00F877A7">
        <w:rPr>
          <w:rFonts w:hAnsi="Times New Roman" w:cs="Times New Roman"/>
        </w:rPr>
        <w:t xml:space="preserve">, </w:t>
      </w:r>
      <w:r w:rsidR="00184EEF" w:rsidRPr="00F877A7">
        <w:rPr>
          <w:rFonts w:hAnsi="Times New Roman" w:cs="Times New Roman"/>
        </w:rPr>
        <w:t xml:space="preserve">the works </w:t>
      </w:r>
      <w:r w:rsidR="00F11105" w:rsidRPr="00F877A7">
        <w:rPr>
          <w:rFonts w:hAnsi="Times New Roman" w:cs="Times New Roman"/>
        </w:rPr>
        <w:t xml:space="preserve">would </w:t>
      </w:r>
      <w:r w:rsidR="00A8146E" w:rsidRPr="00F877A7">
        <w:rPr>
          <w:rFonts w:hAnsi="Times New Roman" w:cs="Times New Roman"/>
        </w:rPr>
        <w:t xml:space="preserve">not </w:t>
      </w:r>
      <w:r w:rsidR="00343785" w:rsidRPr="00F877A7">
        <w:rPr>
          <w:rFonts w:hAnsi="Times New Roman" w:cs="Times New Roman"/>
        </w:rPr>
        <w:t xml:space="preserve">have an unacceptable </w:t>
      </w:r>
      <w:r w:rsidR="00F11105" w:rsidRPr="00F877A7">
        <w:rPr>
          <w:rFonts w:hAnsi="Times New Roman" w:cs="Times New Roman"/>
        </w:rPr>
        <w:t>impact on the cultural heritage significance of the Place</w:t>
      </w:r>
      <w:r w:rsidR="00343785" w:rsidRPr="00F877A7">
        <w:rPr>
          <w:rFonts w:hAnsi="Times New Roman" w:cs="Times New Roman"/>
        </w:rPr>
        <w:t xml:space="preserve"> </w:t>
      </w:r>
      <w:r w:rsidR="00667F16" w:rsidRPr="00F877A7">
        <w:rPr>
          <w:rFonts w:hAnsi="Times New Roman" w:cs="Times New Roman"/>
        </w:rPr>
        <w:t>n</w:t>
      </w:r>
      <w:r w:rsidR="00343785" w:rsidRPr="00F877A7">
        <w:rPr>
          <w:rFonts w:hAnsi="Times New Roman" w:cs="Times New Roman"/>
        </w:rPr>
        <w:t>or diminish o</w:t>
      </w:r>
      <w:r w:rsidR="00667F16" w:rsidRPr="00F877A7">
        <w:rPr>
          <w:rFonts w:hAnsi="Times New Roman" w:cs="Times New Roman"/>
        </w:rPr>
        <w:t>r</w:t>
      </w:r>
      <w:r w:rsidR="00343785" w:rsidRPr="00F877A7">
        <w:rPr>
          <w:rFonts w:hAnsi="Times New Roman" w:cs="Times New Roman"/>
        </w:rPr>
        <w:t xml:space="preserve"> alter the ability to understand its industrial context.</w:t>
      </w:r>
      <w:r w:rsidR="009D3EB2" w:rsidRPr="00F877A7">
        <w:rPr>
          <w:rFonts w:hAnsi="Times New Roman" w:cs="Times New Roman"/>
        </w:rPr>
        <w:t xml:space="preserve"> Mr Lovell stated that the proposed works to existing buildings include works that are minor in nature or </w:t>
      </w:r>
      <w:r w:rsidR="00006AC2">
        <w:rPr>
          <w:rFonts w:hAnsi="Times New Roman" w:cs="Times New Roman"/>
        </w:rPr>
        <w:t>permit exempt</w:t>
      </w:r>
      <w:r w:rsidR="009D3EB2" w:rsidRPr="00F877A7">
        <w:rPr>
          <w:rFonts w:hAnsi="Times New Roman" w:cs="Times New Roman"/>
        </w:rPr>
        <w:t xml:space="preserve"> and</w:t>
      </w:r>
      <w:r w:rsidR="00006AC2">
        <w:rPr>
          <w:rFonts w:hAnsi="Times New Roman" w:cs="Times New Roman"/>
        </w:rPr>
        <w:t>,</w:t>
      </w:r>
      <w:r w:rsidR="009D3EB2" w:rsidRPr="00F877A7">
        <w:rPr>
          <w:rFonts w:hAnsi="Times New Roman" w:cs="Times New Roman"/>
        </w:rPr>
        <w:t xml:space="preserve"> although the new buildings that were part of the proposed works were not of a form or scale that had been previously permitted, the proposed works could be accommodated at the Place</w:t>
      </w:r>
      <w:r w:rsidR="00A650FA" w:rsidRPr="00F877A7">
        <w:rPr>
          <w:rFonts w:hAnsi="Times New Roman" w:cs="Times New Roman"/>
        </w:rPr>
        <w:t>, could be supported in heritage terms</w:t>
      </w:r>
      <w:r w:rsidR="00654E61" w:rsidRPr="00F877A7">
        <w:rPr>
          <w:rFonts w:hAnsi="Times New Roman" w:cs="Times New Roman"/>
        </w:rPr>
        <w:t xml:space="preserve"> and would not impact on its</w:t>
      </w:r>
      <w:r w:rsidR="00882424" w:rsidRPr="00F877A7">
        <w:rPr>
          <w:rFonts w:hAnsi="Times New Roman" w:cs="Times New Roman"/>
        </w:rPr>
        <w:t xml:space="preserve"> significance</w:t>
      </w:r>
      <w:r w:rsidR="00654E61" w:rsidRPr="00F877A7">
        <w:rPr>
          <w:rFonts w:hAnsi="Times New Roman" w:cs="Times New Roman"/>
        </w:rPr>
        <w:t xml:space="preserve">. </w:t>
      </w:r>
    </w:p>
    <w:p w14:paraId="78D6D1EC" w14:textId="77777777" w:rsidR="00F877A7" w:rsidRDefault="00BA6036" w:rsidP="001971C2">
      <w:pPr>
        <w:pStyle w:val="Para1"/>
        <w:numPr>
          <w:ilvl w:val="0"/>
          <w:numId w:val="8"/>
        </w:numPr>
        <w:spacing w:before="120" w:line="240" w:lineRule="auto"/>
        <w:ind w:left="567" w:hanging="567"/>
        <w:rPr>
          <w:rFonts w:hAnsi="Times New Roman" w:cs="Times New Roman"/>
          <w:color w:val="auto"/>
          <w:u w:color="8064A2"/>
        </w:rPr>
      </w:pPr>
      <w:r w:rsidRPr="00F877A7">
        <w:rPr>
          <w:rFonts w:hAnsi="Times New Roman" w:cs="Times New Roman"/>
        </w:rPr>
        <w:t>Mr Raworth</w:t>
      </w:r>
      <w:r w:rsidR="00424067" w:rsidRPr="00F877A7">
        <w:rPr>
          <w:rFonts w:hAnsi="Times New Roman" w:cs="Times New Roman"/>
        </w:rPr>
        <w:t xml:space="preserve"> </w:t>
      </w:r>
      <w:r w:rsidR="00BA6FED" w:rsidRPr="00F877A7">
        <w:rPr>
          <w:rFonts w:hAnsi="Times New Roman" w:cs="Times New Roman"/>
        </w:rPr>
        <w:t xml:space="preserve">stated </w:t>
      </w:r>
      <w:r w:rsidR="00CD73EE" w:rsidRPr="00F877A7">
        <w:rPr>
          <w:rFonts w:hAnsi="Times New Roman" w:cs="Times New Roman"/>
        </w:rPr>
        <w:t xml:space="preserve">in </w:t>
      </w:r>
      <w:r w:rsidR="009C2492" w:rsidRPr="00F877A7">
        <w:rPr>
          <w:rFonts w:hAnsi="Times New Roman" w:cs="Times New Roman"/>
        </w:rPr>
        <w:t>his</w:t>
      </w:r>
      <w:r w:rsidR="00BA6FED" w:rsidRPr="00F877A7">
        <w:rPr>
          <w:rFonts w:hAnsi="Times New Roman" w:cs="Times New Roman"/>
        </w:rPr>
        <w:t xml:space="preserve"> evidence</w:t>
      </w:r>
      <w:r w:rsidR="007551FB" w:rsidRPr="00F877A7">
        <w:rPr>
          <w:rFonts w:hAnsi="Times New Roman" w:cs="Times New Roman"/>
        </w:rPr>
        <w:t xml:space="preserve"> that the </w:t>
      </w:r>
      <w:r w:rsidR="00934892" w:rsidRPr="00F877A7">
        <w:rPr>
          <w:rFonts w:hAnsi="Times New Roman" w:cs="Times New Roman"/>
        </w:rPr>
        <w:t xml:space="preserve">proposed works would not </w:t>
      </w:r>
      <w:r w:rsidR="00CD73EE" w:rsidRPr="00F877A7">
        <w:rPr>
          <w:rFonts w:hAnsi="Times New Roman" w:cs="Times New Roman"/>
        </w:rPr>
        <w:t xml:space="preserve">result in </w:t>
      </w:r>
      <w:r w:rsidR="009E0D44" w:rsidRPr="00F877A7">
        <w:rPr>
          <w:rFonts w:hAnsi="Times New Roman" w:cs="Times New Roman"/>
        </w:rPr>
        <w:t>inappropriate</w:t>
      </w:r>
      <w:r w:rsidR="00CD73EE" w:rsidRPr="00F877A7">
        <w:rPr>
          <w:rFonts w:hAnsi="Times New Roman" w:cs="Times New Roman"/>
        </w:rPr>
        <w:t xml:space="preserve"> adverse</w:t>
      </w:r>
      <w:r w:rsidR="00934892" w:rsidRPr="00F877A7">
        <w:rPr>
          <w:rFonts w:hAnsi="Times New Roman" w:cs="Times New Roman"/>
        </w:rPr>
        <w:t xml:space="preserve"> impact</w:t>
      </w:r>
      <w:r w:rsidR="00CD73EE" w:rsidRPr="00F877A7">
        <w:rPr>
          <w:rFonts w:hAnsi="Times New Roman" w:cs="Times New Roman"/>
        </w:rPr>
        <w:t>s</w:t>
      </w:r>
      <w:r w:rsidR="00934892" w:rsidRPr="00F877A7">
        <w:rPr>
          <w:rFonts w:hAnsi="Times New Roman" w:cs="Times New Roman"/>
        </w:rPr>
        <w:t xml:space="preserve"> on the cultural heritage significance of the Place</w:t>
      </w:r>
      <w:r w:rsidR="00CD73EE" w:rsidRPr="00F877A7">
        <w:rPr>
          <w:rFonts w:hAnsi="Times New Roman" w:cs="Times New Roman"/>
        </w:rPr>
        <w:t xml:space="preserve">, and that the Stage 1 works </w:t>
      </w:r>
      <w:r w:rsidR="00FE2612" w:rsidRPr="00F877A7">
        <w:rPr>
          <w:rFonts w:hAnsi="Times New Roman" w:cs="Times New Roman"/>
        </w:rPr>
        <w:t>represent</w:t>
      </w:r>
      <w:r w:rsidR="00CD73EE" w:rsidRPr="00F877A7">
        <w:rPr>
          <w:rFonts w:hAnsi="Times New Roman" w:cs="Times New Roman"/>
        </w:rPr>
        <w:t xml:space="preserve"> a reasonable proposal. </w:t>
      </w:r>
      <w:r w:rsidR="006351A3" w:rsidRPr="00F877A7">
        <w:rPr>
          <w:rFonts w:hAnsi="Times New Roman" w:cs="Times New Roman"/>
        </w:rPr>
        <w:t>Mr Raworth acknowledged that the proposed works would result in change to the Place, but stated that the change would be acceptable as compared with other comparable industrial places</w:t>
      </w:r>
      <w:r w:rsidR="00FB611F" w:rsidRPr="00F877A7">
        <w:rPr>
          <w:rFonts w:hAnsi="Times New Roman" w:cs="Times New Roman"/>
        </w:rPr>
        <w:t xml:space="preserve"> and that the change was contemplated by the existing permit exemptions for the Place</w:t>
      </w:r>
      <w:r w:rsidR="006351A3" w:rsidRPr="00F877A7">
        <w:rPr>
          <w:rFonts w:hAnsi="Times New Roman" w:cs="Times New Roman"/>
        </w:rPr>
        <w:t>.</w:t>
      </w:r>
    </w:p>
    <w:p w14:paraId="644036EE" w14:textId="77777777" w:rsidR="00F877A7" w:rsidRDefault="001152D2" w:rsidP="001971C2">
      <w:pPr>
        <w:pStyle w:val="Para1"/>
        <w:numPr>
          <w:ilvl w:val="0"/>
          <w:numId w:val="8"/>
        </w:numPr>
        <w:spacing w:before="120" w:line="240" w:lineRule="auto"/>
        <w:ind w:left="567" w:hanging="567"/>
        <w:rPr>
          <w:rFonts w:hAnsi="Times New Roman" w:cs="Times New Roman"/>
          <w:color w:val="auto"/>
          <w:u w:color="8064A2"/>
        </w:rPr>
      </w:pPr>
      <w:r w:rsidRPr="00F877A7">
        <w:rPr>
          <w:rFonts w:hAnsi="Times New Roman" w:cs="Times New Roman"/>
        </w:rPr>
        <w:t xml:space="preserve">Both </w:t>
      </w:r>
      <w:r w:rsidR="000B2186">
        <w:rPr>
          <w:rFonts w:hAnsi="Times New Roman" w:cs="Times New Roman"/>
        </w:rPr>
        <w:t>Mr Lovell and Mr Raworth</w:t>
      </w:r>
      <w:r w:rsidRPr="00F877A7">
        <w:rPr>
          <w:rFonts w:hAnsi="Times New Roman" w:cs="Times New Roman"/>
        </w:rPr>
        <w:t xml:space="preserve"> gave evidence about the relative importance of the various views to the Place from outside</w:t>
      </w:r>
      <w:r w:rsidR="0098441F" w:rsidRPr="00F877A7">
        <w:rPr>
          <w:rFonts w:hAnsi="Times New Roman" w:cs="Times New Roman"/>
        </w:rPr>
        <w:t>,</w:t>
      </w:r>
      <w:r w:rsidRPr="00F877A7">
        <w:rPr>
          <w:rFonts w:hAnsi="Times New Roman" w:cs="Times New Roman"/>
        </w:rPr>
        <w:t xml:space="preserve"> describing some as </w:t>
      </w:r>
      <w:r w:rsidR="00CF0FF2">
        <w:rPr>
          <w:rFonts w:hAnsi="Times New Roman" w:cs="Times New Roman"/>
        </w:rPr>
        <w:t xml:space="preserve">already </w:t>
      </w:r>
      <w:r w:rsidRPr="00F877A7">
        <w:rPr>
          <w:rFonts w:hAnsi="Times New Roman" w:cs="Times New Roman"/>
        </w:rPr>
        <w:t>interrupted and others as of local significance only.</w:t>
      </w:r>
    </w:p>
    <w:p w14:paraId="0E882D65" w14:textId="33A6BD32" w:rsidR="001152D2" w:rsidRPr="00F877A7" w:rsidRDefault="008E664E" w:rsidP="001971C2">
      <w:pPr>
        <w:pStyle w:val="Para1"/>
        <w:numPr>
          <w:ilvl w:val="0"/>
          <w:numId w:val="8"/>
        </w:numPr>
        <w:spacing w:before="120" w:line="240" w:lineRule="auto"/>
        <w:ind w:left="567" w:hanging="567"/>
        <w:rPr>
          <w:rFonts w:hAnsi="Times New Roman" w:cs="Times New Roman"/>
          <w:color w:val="auto"/>
          <w:u w:color="8064A2"/>
        </w:rPr>
      </w:pPr>
      <w:r w:rsidRPr="00F877A7">
        <w:rPr>
          <w:rFonts w:hAnsi="Times New Roman" w:cs="Times New Roman"/>
        </w:rPr>
        <w:t>Mr Sutherland</w:t>
      </w:r>
      <w:r w:rsidR="00B55913" w:rsidRPr="00F877A7">
        <w:rPr>
          <w:rFonts w:hAnsi="Times New Roman" w:cs="Times New Roman"/>
        </w:rPr>
        <w:t xml:space="preserve"> provided evidence largely relating to the design of the proposed </w:t>
      </w:r>
      <w:r w:rsidR="001152D2" w:rsidRPr="00F877A7">
        <w:rPr>
          <w:rFonts w:hAnsi="Times New Roman" w:cs="Times New Roman"/>
        </w:rPr>
        <w:t xml:space="preserve">new </w:t>
      </w:r>
      <w:r w:rsidR="00B55913" w:rsidRPr="00F877A7">
        <w:rPr>
          <w:rFonts w:hAnsi="Times New Roman" w:cs="Times New Roman"/>
        </w:rPr>
        <w:t xml:space="preserve">works, </w:t>
      </w:r>
      <w:r w:rsidR="004F7FC1" w:rsidRPr="00F877A7">
        <w:rPr>
          <w:rFonts w:hAnsi="Times New Roman" w:cs="Times New Roman"/>
        </w:rPr>
        <w:t>and</w:t>
      </w:r>
      <w:r w:rsidR="00B55913" w:rsidRPr="00F877A7">
        <w:rPr>
          <w:rFonts w:hAnsi="Times New Roman" w:cs="Times New Roman"/>
        </w:rPr>
        <w:t xml:space="preserve"> stated that the </w:t>
      </w:r>
      <w:r w:rsidR="000549AF" w:rsidRPr="00F877A7">
        <w:rPr>
          <w:rFonts w:hAnsi="Times New Roman" w:cs="Times New Roman"/>
        </w:rPr>
        <w:t>proposed new buildings continue the interrelationship b</w:t>
      </w:r>
      <w:r w:rsidR="008201E6" w:rsidRPr="00F877A7">
        <w:rPr>
          <w:rFonts w:hAnsi="Times New Roman" w:cs="Times New Roman"/>
        </w:rPr>
        <w:t>etween new and old at the Place, r</w:t>
      </w:r>
      <w:r w:rsidR="000549AF" w:rsidRPr="00F877A7">
        <w:rPr>
          <w:rFonts w:hAnsi="Times New Roman" w:cs="Times New Roman"/>
        </w:rPr>
        <w:t>espond</w:t>
      </w:r>
      <w:r w:rsidR="008201E6" w:rsidRPr="00F877A7">
        <w:rPr>
          <w:rFonts w:hAnsi="Times New Roman" w:cs="Times New Roman"/>
        </w:rPr>
        <w:t>ing</w:t>
      </w:r>
      <w:r w:rsidR="000549AF" w:rsidRPr="00F877A7">
        <w:rPr>
          <w:rFonts w:hAnsi="Times New Roman" w:cs="Times New Roman"/>
        </w:rPr>
        <w:t xml:space="preserve"> to and highlight</w:t>
      </w:r>
      <w:r w:rsidR="008201E6" w:rsidRPr="00F877A7">
        <w:rPr>
          <w:rFonts w:hAnsi="Times New Roman" w:cs="Times New Roman"/>
        </w:rPr>
        <w:t>ing</w:t>
      </w:r>
      <w:r w:rsidR="000549AF" w:rsidRPr="00F877A7">
        <w:rPr>
          <w:rFonts w:hAnsi="Times New Roman" w:cs="Times New Roman"/>
        </w:rPr>
        <w:t xml:space="preserve"> heritage elements</w:t>
      </w:r>
      <w:r w:rsidR="0053498F" w:rsidRPr="00F877A7">
        <w:rPr>
          <w:rFonts w:hAnsi="Times New Roman" w:cs="Times New Roman"/>
        </w:rPr>
        <w:t xml:space="preserve"> at the Place</w:t>
      </w:r>
      <w:r w:rsidR="000549AF" w:rsidRPr="00F877A7">
        <w:rPr>
          <w:rFonts w:hAnsi="Times New Roman" w:cs="Times New Roman"/>
        </w:rPr>
        <w:t>.</w:t>
      </w:r>
      <w:r w:rsidR="001152D2" w:rsidRPr="00F877A7">
        <w:rPr>
          <w:rFonts w:hAnsi="Times New Roman" w:cs="Times New Roman"/>
        </w:rPr>
        <w:t xml:space="preserve"> He supported the curvilinear form of the tower above the podium of the southern building as appropriate.</w:t>
      </w:r>
    </w:p>
    <w:p w14:paraId="19422282" w14:textId="77777777" w:rsidR="00C777A5" w:rsidRDefault="005922B9" w:rsidP="00DB11EA">
      <w:pPr>
        <w:pStyle w:val="Para1"/>
        <w:numPr>
          <w:ilvl w:val="0"/>
          <w:numId w:val="0"/>
        </w:numPr>
        <w:tabs>
          <w:tab w:val="left" w:pos="426"/>
        </w:tabs>
        <w:spacing w:line="240" w:lineRule="auto"/>
        <w:rPr>
          <w:rFonts w:hAnsi="Times New Roman" w:cs="Times New Roman"/>
          <w:i/>
        </w:rPr>
      </w:pPr>
      <w:r>
        <w:rPr>
          <w:rFonts w:hAnsi="Times New Roman" w:cs="Times New Roman"/>
          <w:i/>
        </w:rPr>
        <w:t>Discussion</w:t>
      </w:r>
    </w:p>
    <w:p w14:paraId="19328C27" w14:textId="77777777" w:rsidR="0098441F" w:rsidRPr="001B0209" w:rsidRDefault="0098441F" w:rsidP="001971C2">
      <w:pPr>
        <w:pStyle w:val="Para1"/>
        <w:numPr>
          <w:ilvl w:val="0"/>
          <w:numId w:val="8"/>
        </w:numPr>
        <w:spacing w:line="240" w:lineRule="auto"/>
        <w:ind w:left="567" w:hanging="567"/>
        <w:rPr>
          <w:rFonts w:hAnsi="Times New Roman" w:cs="Times New Roman"/>
        </w:rPr>
      </w:pPr>
      <w:r w:rsidRPr="001B0209">
        <w:rPr>
          <w:rFonts w:hAnsi="Times New Roman" w:cs="Times New Roman"/>
          <w:lang w:eastAsia="en-AU"/>
        </w:rPr>
        <w:t>So far as the Appellant’s</w:t>
      </w:r>
      <w:r w:rsidR="002F599F" w:rsidRPr="001B0209">
        <w:rPr>
          <w:rFonts w:hAnsi="Times New Roman" w:cs="Times New Roman"/>
          <w:lang w:eastAsia="en-AU"/>
        </w:rPr>
        <w:t xml:space="preserve"> submissions </w:t>
      </w:r>
      <w:r w:rsidRPr="001B0209">
        <w:rPr>
          <w:rFonts w:hAnsi="Times New Roman" w:cs="Times New Roman"/>
          <w:lang w:eastAsia="en-AU"/>
        </w:rPr>
        <w:t>about</w:t>
      </w:r>
      <w:r w:rsidR="002F599F" w:rsidRPr="001B0209">
        <w:rPr>
          <w:rFonts w:hAnsi="Times New Roman" w:cs="Times New Roman"/>
          <w:lang w:eastAsia="en-AU"/>
        </w:rPr>
        <w:t xml:space="preserve"> the legality </w:t>
      </w:r>
      <w:r w:rsidRPr="001B0209">
        <w:rPr>
          <w:rFonts w:hAnsi="Times New Roman" w:cs="Times New Roman"/>
          <w:lang w:eastAsia="en-AU"/>
        </w:rPr>
        <w:t>of the first</w:t>
      </w:r>
      <w:r w:rsidR="002F599F" w:rsidRPr="001B0209">
        <w:rPr>
          <w:rFonts w:hAnsi="Times New Roman" w:cs="Times New Roman"/>
          <w:lang w:eastAsia="en-AU"/>
        </w:rPr>
        <w:t xml:space="preserve"> ground of refusal by the Executive Director</w:t>
      </w:r>
      <w:r w:rsidR="00CF0FF2">
        <w:rPr>
          <w:rFonts w:hAnsi="Times New Roman" w:cs="Times New Roman"/>
          <w:lang w:eastAsia="en-AU"/>
        </w:rPr>
        <w:t xml:space="preserve"> are</w:t>
      </w:r>
      <w:r w:rsidRPr="001B0209">
        <w:rPr>
          <w:rFonts w:hAnsi="Times New Roman" w:cs="Times New Roman"/>
          <w:lang w:eastAsia="en-AU"/>
        </w:rPr>
        <w:t xml:space="preserve"> concerned, the Committee acknowledges that</w:t>
      </w:r>
      <w:r w:rsidR="002F599F" w:rsidRPr="001B0209">
        <w:rPr>
          <w:rFonts w:hAnsi="Times New Roman" w:cs="Times New Roman"/>
          <w:lang w:eastAsia="en-AU"/>
        </w:rPr>
        <w:t xml:space="preserve"> such </w:t>
      </w:r>
      <w:r w:rsidR="00226135">
        <w:rPr>
          <w:rFonts w:hAnsi="Times New Roman" w:cs="Times New Roman"/>
          <w:lang w:eastAsia="en-AU"/>
        </w:rPr>
        <w:t xml:space="preserve">legal </w:t>
      </w:r>
      <w:r w:rsidR="002F599F" w:rsidRPr="001B0209">
        <w:rPr>
          <w:rFonts w:hAnsi="Times New Roman" w:cs="Times New Roman"/>
          <w:lang w:eastAsia="en-AU"/>
        </w:rPr>
        <w:t xml:space="preserve">arguments potentially may influence the weight to be given to the Executive Director’s position at an appeal hearing and may be also relevant to the nature of </w:t>
      </w:r>
      <w:r w:rsidR="00306736">
        <w:rPr>
          <w:rFonts w:hAnsi="Times New Roman" w:cs="Times New Roman"/>
          <w:lang w:eastAsia="en-AU"/>
        </w:rPr>
        <w:t>a</w:t>
      </w:r>
      <w:r w:rsidR="00306736" w:rsidRPr="001B0209">
        <w:rPr>
          <w:rFonts w:hAnsi="Times New Roman" w:cs="Times New Roman"/>
          <w:lang w:eastAsia="en-AU"/>
        </w:rPr>
        <w:t xml:space="preserve"> </w:t>
      </w:r>
      <w:r w:rsidR="002F599F" w:rsidRPr="001B0209">
        <w:rPr>
          <w:rFonts w:hAnsi="Times New Roman" w:cs="Times New Roman"/>
          <w:lang w:eastAsia="en-AU"/>
        </w:rPr>
        <w:t xml:space="preserve">decision to be made by the Heritage Council itself on appeal, given that the consideration by the Heritage Council is a </w:t>
      </w:r>
      <w:r w:rsidR="002F599F" w:rsidRPr="001B0209">
        <w:rPr>
          <w:rFonts w:hAnsi="Times New Roman" w:cs="Times New Roman"/>
          <w:i/>
          <w:lang w:eastAsia="en-AU"/>
        </w:rPr>
        <w:t xml:space="preserve">de novo </w:t>
      </w:r>
      <w:r w:rsidR="002F599F" w:rsidRPr="001B0209">
        <w:rPr>
          <w:rFonts w:hAnsi="Times New Roman" w:cs="Times New Roman"/>
          <w:lang w:eastAsia="en-AU"/>
        </w:rPr>
        <w:t xml:space="preserve">merits consideration of proposed works (that is the Heritage Council ‘stands in the shoes’ of the Executive Director in exercising its </w:t>
      </w:r>
      <w:r w:rsidRPr="001B0209">
        <w:rPr>
          <w:rFonts w:hAnsi="Times New Roman" w:cs="Times New Roman"/>
          <w:lang w:eastAsia="en-AU"/>
        </w:rPr>
        <w:t>powers under s76(4) of the Act).</w:t>
      </w:r>
    </w:p>
    <w:p w14:paraId="43376D1D" w14:textId="42E2DBAB" w:rsidR="002F599F" w:rsidRDefault="002F599F" w:rsidP="001971C2">
      <w:pPr>
        <w:pStyle w:val="Para1"/>
        <w:numPr>
          <w:ilvl w:val="0"/>
          <w:numId w:val="8"/>
        </w:numPr>
        <w:spacing w:line="240" w:lineRule="auto"/>
        <w:ind w:left="567" w:hanging="567"/>
        <w:rPr>
          <w:rFonts w:hAnsi="Times New Roman" w:cs="Times New Roman"/>
        </w:rPr>
      </w:pPr>
      <w:r w:rsidRPr="001B0209">
        <w:rPr>
          <w:rFonts w:hAnsi="Times New Roman" w:cs="Times New Roman"/>
        </w:rPr>
        <w:t>The</w:t>
      </w:r>
      <w:r>
        <w:rPr>
          <w:rFonts w:hAnsi="Times New Roman" w:cs="Times New Roman"/>
        </w:rPr>
        <w:t xml:space="preserve"> Committee accepts the Appellant’s argument that the Act contemplates that applications can be made and determined for proposals involving the total removal of all heritage fabric from a site (though that is not the case here). In such circumstances there would generally be no weighing of negative and positive effects upon the cultural heritage significance of </w:t>
      </w:r>
      <w:r w:rsidR="00226135">
        <w:rPr>
          <w:rFonts w:hAnsi="Times New Roman" w:cs="Times New Roman"/>
        </w:rPr>
        <w:t xml:space="preserve">a </w:t>
      </w:r>
      <w:r w:rsidR="00FD3F48">
        <w:rPr>
          <w:rFonts w:hAnsi="Times New Roman" w:cs="Times New Roman"/>
        </w:rPr>
        <w:t>Place</w:t>
      </w:r>
      <w:r>
        <w:rPr>
          <w:rFonts w:hAnsi="Times New Roman" w:cs="Times New Roman"/>
        </w:rPr>
        <w:t xml:space="preserve">. Rather s73(1)(b) </w:t>
      </w:r>
      <w:r w:rsidR="009C23F2">
        <w:rPr>
          <w:rFonts w:hAnsi="Times New Roman" w:cs="Times New Roman"/>
        </w:rPr>
        <w:t xml:space="preserve">would </w:t>
      </w:r>
      <w:r>
        <w:rPr>
          <w:rFonts w:hAnsi="Times New Roman" w:cs="Times New Roman"/>
        </w:rPr>
        <w:t xml:space="preserve">become a key consideration to be considered along with </w:t>
      </w:r>
      <w:r w:rsidR="0098441F">
        <w:rPr>
          <w:rFonts w:hAnsi="Times New Roman" w:cs="Times New Roman"/>
        </w:rPr>
        <w:t>the necessarily</w:t>
      </w:r>
      <w:r>
        <w:rPr>
          <w:rFonts w:hAnsi="Times New Roman" w:cs="Times New Roman"/>
        </w:rPr>
        <w:t xml:space="preserve"> adverse effect upon cultural heritage significance.  In cases where total demolition is not proposed, </w:t>
      </w:r>
      <w:r w:rsidR="0098441F">
        <w:rPr>
          <w:rFonts w:hAnsi="Times New Roman" w:cs="Times New Roman"/>
        </w:rPr>
        <w:t xml:space="preserve">however, </w:t>
      </w:r>
      <w:r>
        <w:rPr>
          <w:rFonts w:hAnsi="Times New Roman" w:cs="Times New Roman"/>
        </w:rPr>
        <w:t xml:space="preserve">the </w:t>
      </w:r>
      <w:r w:rsidR="009C23F2">
        <w:rPr>
          <w:rFonts w:hAnsi="Times New Roman" w:cs="Times New Roman"/>
        </w:rPr>
        <w:t xml:space="preserve">Committee considers that the </w:t>
      </w:r>
      <w:r>
        <w:rPr>
          <w:rFonts w:hAnsi="Times New Roman" w:cs="Times New Roman"/>
        </w:rPr>
        <w:t xml:space="preserve">effects of proposed works - both positive and negative - upon the remaining fabric and the cultural heritage significance of </w:t>
      </w:r>
      <w:r w:rsidR="009C23F2">
        <w:rPr>
          <w:rFonts w:hAnsi="Times New Roman" w:cs="Times New Roman"/>
        </w:rPr>
        <w:t>a</w:t>
      </w:r>
      <w:r>
        <w:rPr>
          <w:rFonts w:hAnsi="Times New Roman" w:cs="Times New Roman"/>
        </w:rPr>
        <w:t xml:space="preserve"> site can be considered.  </w:t>
      </w:r>
    </w:p>
    <w:p w14:paraId="4061CD2C" w14:textId="5BE3562A" w:rsidR="008E4B8C" w:rsidRDefault="002F599F" w:rsidP="001971C2">
      <w:pPr>
        <w:pStyle w:val="Para1"/>
        <w:numPr>
          <w:ilvl w:val="0"/>
          <w:numId w:val="8"/>
        </w:numPr>
        <w:spacing w:line="240" w:lineRule="auto"/>
        <w:ind w:left="567" w:hanging="567"/>
        <w:rPr>
          <w:rFonts w:hAnsi="Times New Roman" w:cs="Times New Roman"/>
        </w:rPr>
      </w:pPr>
      <w:r w:rsidRPr="00D36F1F">
        <w:rPr>
          <w:rFonts w:hAnsi="Times New Roman" w:cs="Times New Roman"/>
        </w:rPr>
        <w:t xml:space="preserve">In the present case, the Committee is of the view that, pursuant to s73(1)(a), it is potentially </w:t>
      </w:r>
      <w:r w:rsidRPr="00F817B1">
        <w:rPr>
          <w:rFonts w:hAnsi="Times New Roman" w:cs="Times New Roman"/>
        </w:rPr>
        <w:t>able to consider both the po</w:t>
      </w:r>
      <w:r w:rsidRPr="00D36F1F">
        <w:rPr>
          <w:rFonts w:hAnsi="Times New Roman" w:cs="Times New Roman"/>
        </w:rPr>
        <w:t xml:space="preserve">sitive and negative effects of the proposal on the Place in making its determination. </w:t>
      </w:r>
      <w:r w:rsidR="009C23F2" w:rsidRPr="00D36F1F">
        <w:rPr>
          <w:rFonts w:hAnsi="Times New Roman" w:cs="Times New Roman"/>
        </w:rPr>
        <w:t>In</w:t>
      </w:r>
      <w:r w:rsidR="009C23F2">
        <w:rPr>
          <w:rFonts w:hAnsi="Times New Roman" w:cs="Times New Roman"/>
        </w:rPr>
        <w:t>deed, in</w:t>
      </w:r>
      <w:r w:rsidRPr="00D36F1F">
        <w:rPr>
          <w:rFonts w:hAnsi="Times New Roman" w:cs="Times New Roman"/>
        </w:rPr>
        <w:t xml:space="preserve"> this respect, the </w:t>
      </w:r>
      <w:r>
        <w:rPr>
          <w:rFonts w:hAnsi="Times New Roman" w:cs="Times New Roman"/>
        </w:rPr>
        <w:t>Appellant</w:t>
      </w:r>
      <w:r w:rsidRPr="00D36F1F">
        <w:rPr>
          <w:rFonts w:hAnsi="Times New Roman" w:cs="Times New Roman"/>
        </w:rPr>
        <w:t xml:space="preserve"> pointed to the beneficial effects of the removal of most of </w:t>
      </w:r>
      <w:r w:rsidR="009C23F2">
        <w:rPr>
          <w:rFonts w:hAnsi="Times New Roman" w:cs="Times New Roman"/>
        </w:rPr>
        <w:t xml:space="preserve">building </w:t>
      </w:r>
      <w:r w:rsidRPr="00D36F1F">
        <w:rPr>
          <w:rFonts w:hAnsi="Times New Roman" w:cs="Times New Roman"/>
        </w:rPr>
        <w:t xml:space="preserve">B3 in terms of exposing a view to the side wall of </w:t>
      </w:r>
      <w:r w:rsidR="009C23F2">
        <w:rPr>
          <w:rFonts w:hAnsi="Times New Roman" w:cs="Times New Roman"/>
        </w:rPr>
        <w:t xml:space="preserve">building </w:t>
      </w:r>
      <w:r w:rsidRPr="00D36F1F">
        <w:rPr>
          <w:rFonts w:hAnsi="Times New Roman" w:cs="Times New Roman"/>
        </w:rPr>
        <w:t>B4.</w:t>
      </w:r>
      <w:r>
        <w:rPr>
          <w:rFonts w:hAnsi="Times New Roman" w:cs="Times New Roman"/>
        </w:rPr>
        <w:t xml:space="preserve"> However, th</w:t>
      </w:r>
      <w:r w:rsidR="009C23F2">
        <w:rPr>
          <w:rFonts w:hAnsi="Times New Roman" w:cs="Times New Roman"/>
        </w:rPr>
        <w:t>e</w:t>
      </w:r>
      <w:r>
        <w:rPr>
          <w:rFonts w:hAnsi="Times New Roman" w:cs="Times New Roman"/>
        </w:rPr>
        <w:t xml:space="preserve"> weigh</w:t>
      </w:r>
      <w:r w:rsidR="009C23F2">
        <w:rPr>
          <w:rFonts w:hAnsi="Times New Roman" w:cs="Times New Roman"/>
        </w:rPr>
        <w:t xml:space="preserve">t given to positive conservation measures or </w:t>
      </w:r>
      <w:r>
        <w:rPr>
          <w:rFonts w:hAnsi="Times New Roman" w:cs="Times New Roman"/>
        </w:rPr>
        <w:t xml:space="preserve">benefits has </w:t>
      </w:r>
      <w:r w:rsidR="009C23F2">
        <w:rPr>
          <w:rFonts w:hAnsi="Times New Roman" w:cs="Times New Roman"/>
        </w:rPr>
        <w:t>necessarily been only slight in the Committee’s</w:t>
      </w:r>
      <w:r>
        <w:rPr>
          <w:rFonts w:hAnsi="Times New Roman" w:cs="Times New Roman"/>
        </w:rPr>
        <w:t xml:space="preserve"> consideration of the</w:t>
      </w:r>
      <w:r w:rsidR="003B66C1">
        <w:rPr>
          <w:rFonts w:hAnsi="Times New Roman" w:cs="Times New Roman"/>
        </w:rPr>
        <w:t xml:space="preserve"> proposed works</w:t>
      </w:r>
      <w:r>
        <w:rPr>
          <w:rFonts w:hAnsi="Times New Roman" w:cs="Times New Roman"/>
        </w:rPr>
        <w:t>.</w:t>
      </w:r>
    </w:p>
    <w:p w14:paraId="0308F072" w14:textId="77777777" w:rsidR="00ED44E3" w:rsidRDefault="00ED44E3" w:rsidP="001971C2">
      <w:pPr>
        <w:pStyle w:val="Para1"/>
        <w:numPr>
          <w:ilvl w:val="0"/>
          <w:numId w:val="8"/>
        </w:numPr>
        <w:spacing w:line="240" w:lineRule="auto"/>
        <w:ind w:left="567" w:hanging="567"/>
        <w:rPr>
          <w:rFonts w:hAnsi="Times New Roman" w:cs="Times New Roman"/>
        </w:rPr>
      </w:pPr>
      <w:r w:rsidRPr="00D6305F">
        <w:rPr>
          <w:rFonts w:hAnsi="Times New Roman" w:cs="Times New Roman"/>
        </w:rPr>
        <w:t xml:space="preserve">The Committee is of the view that, notwithstanding the permit exemption policy for the Place, the differences between levels of significance ascribed to site elements in the Conservation Management Plan, and the varying manner in which specific parts of the Place are described in the Register, the assessment to be made under s73 must be holistic and take into account the entire registered extent of the Place. While parts of the Place are subject to permit exemptions, in this case they form part of the significance of the Place and make a contribution to the cultural heritage significance of the Place. </w:t>
      </w:r>
    </w:p>
    <w:p w14:paraId="08FD08A1" w14:textId="1411F841" w:rsidR="00D6305F" w:rsidRDefault="00ED44E3" w:rsidP="001971C2">
      <w:pPr>
        <w:pStyle w:val="Para1"/>
        <w:numPr>
          <w:ilvl w:val="0"/>
          <w:numId w:val="8"/>
        </w:numPr>
        <w:spacing w:line="240" w:lineRule="auto"/>
        <w:ind w:left="567" w:hanging="567"/>
        <w:rPr>
          <w:rFonts w:hAnsi="Times New Roman" w:cs="Times New Roman"/>
        </w:rPr>
      </w:pPr>
      <w:r>
        <w:rPr>
          <w:rFonts w:hAnsi="Times New Roman" w:cs="Times New Roman"/>
        </w:rPr>
        <w:t>Also, i</w:t>
      </w:r>
      <w:r w:rsidR="00B42053" w:rsidRPr="008E4B8C">
        <w:rPr>
          <w:rFonts w:hAnsi="Times New Roman" w:cs="Times New Roman"/>
        </w:rPr>
        <w:t>n considering the</w:t>
      </w:r>
      <w:r w:rsidR="0098441F" w:rsidRPr="008E4B8C">
        <w:rPr>
          <w:rFonts w:hAnsi="Times New Roman" w:cs="Times New Roman"/>
        </w:rPr>
        <w:t xml:space="preserve"> impacts upon the cultural herit</w:t>
      </w:r>
      <w:r w:rsidR="00B42053" w:rsidRPr="008E4B8C">
        <w:rPr>
          <w:rFonts w:hAnsi="Times New Roman" w:cs="Times New Roman"/>
        </w:rPr>
        <w:t>age significance of the P</w:t>
      </w:r>
      <w:r w:rsidR="0098441F" w:rsidRPr="008E4B8C">
        <w:rPr>
          <w:rFonts w:hAnsi="Times New Roman" w:cs="Times New Roman"/>
        </w:rPr>
        <w:t xml:space="preserve">lace, the Committee </w:t>
      </w:r>
      <w:r w:rsidR="00B42053" w:rsidRPr="008E4B8C">
        <w:rPr>
          <w:rFonts w:hAnsi="Times New Roman" w:cs="Times New Roman"/>
        </w:rPr>
        <w:t>considers that it is important to recognise t</w:t>
      </w:r>
      <w:r w:rsidR="0098441F" w:rsidRPr="008E4B8C">
        <w:rPr>
          <w:rFonts w:hAnsi="Times New Roman" w:cs="Times New Roman"/>
        </w:rPr>
        <w:t xml:space="preserve">hat the Place, </w:t>
      </w:r>
      <w:r w:rsidR="000D0625" w:rsidRPr="008E4B8C">
        <w:rPr>
          <w:rFonts w:hAnsi="Times New Roman" w:cs="Times New Roman"/>
        </w:rPr>
        <w:t>based</w:t>
      </w:r>
      <w:r w:rsidR="00442DDC" w:rsidRPr="008E4B8C">
        <w:rPr>
          <w:rFonts w:hAnsi="Times New Roman" w:cs="Times New Roman"/>
        </w:rPr>
        <w:t xml:space="preserve"> on its rarity,</w:t>
      </w:r>
      <w:r w:rsidR="00AC3F01" w:rsidRPr="008E4B8C">
        <w:rPr>
          <w:rFonts w:hAnsi="Times New Roman" w:cs="Times New Roman"/>
        </w:rPr>
        <w:t xml:space="preserve"> intactness, its historical and scientific s</w:t>
      </w:r>
      <w:r w:rsidR="007F07A7" w:rsidRPr="008E4B8C">
        <w:rPr>
          <w:rFonts w:hAnsi="Times New Roman" w:cs="Times New Roman"/>
        </w:rPr>
        <w:t>ignificance a</w:t>
      </w:r>
      <w:r w:rsidR="00226135">
        <w:rPr>
          <w:rFonts w:hAnsi="Times New Roman" w:cs="Times New Roman"/>
        </w:rPr>
        <w:t>s</w:t>
      </w:r>
      <w:r w:rsidR="007F07A7" w:rsidRPr="008E4B8C">
        <w:rPr>
          <w:rFonts w:hAnsi="Times New Roman" w:cs="Times New Roman"/>
        </w:rPr>
        <w:t xml:space="preserve"> </w:t>
      </w:r>
      <w:r w:rsidR="00B42053" w:rsidRPr="008E4B8C">
        <w:rPr>
          <w:rFonts w:hAnsi="Times New Roman" w:cs="Times New Roman"/>
        </w:rPr>
        <w:t>described in</w:t>
      </w:r>
      <w:r w:rsidR="00AC3F01" w:rsidRPr="008E4B8C">
        <w:rPr>
          <w:rFonts w:hAnsi="Times New Roman" w:cs="Times New Roman"/>
        </w:rPr>
        <w:t xml:space="preserve"> </w:t>
      </w:r>
      <w:r w:rsidR="007F07A7" w:rsidRPr="008E4B8C">
        <w:rPr>
          <w:rFonts w:hAnsi="Times New Roman" w:cs="Times New Roman"/>
        </w:rPr>
        <w:t>submissions made to this hearing</w:t>
      </w:r>
      <w:r w:rsidR="00D6313A" w:rsidRPr="008E4B8C">
        <w:rPr>
          <w:rFonts w:hAnsi="Times New Roman" w:cs="Times New Roman"/>
        </w:rPr>
        <w:t xml:space="preserve">, </w:t>
      </w:r>
      <w:r w:rsidR="005971D3" w:rsidRPr="008E4B8C">
        <w:rPr>
          <w:rFonts w:hAnsi="Times New Roman" w:cs="Times New Roman"/>
        </w:rPr>
        <w:t>is</w:t>
      </w:r>
      <w:r w:rsidR="00D6313A" w:rsidRPr="008E4B8C">
        <w:rPr>
          <w:rFonts w:hAnsi="Times New Roman" w:cs="Times New Roman"/>
        </w:rPr>
        <w:t xml:space="preserve"> of national</w:t>
      </w:r>
      <w:r w:rsidR="00B42053" w:rsidRPr="008E4B8C">
        <w:rPr>
          <w:rFonts w:hAnsi="Times New Roman" w:cs="Times New Roman"/>
        </w:rPr>
        <w:t>,</w:t>
      </w:r>
      <w:r w:rsidR="008E4B8C">
        <w:rPr>
          <w:rFonts w:hAnsi="Times New Roman" w:cs="Times New Roman"/>
        </w:rPr>
        <w:t xml:space="preserve"> </w:t>
      </w:r>
      <w:r w:rsidR="00D6313A" w:rsidRPr="008E4B8C">
        <w:rPr>
          <w:rFonts w:hAnsi="Times New Roman" w:cs="Times New Roman"/>
        </w:rPr>
        <w:t xml:space="preserve">and </w:t>
      </w:r>
      <w:r w:rsidR="005971D3" w:rsidRPr="008E4B8C">
        <w:rPr>
          <w:rFonts w:hAnsi="Times New Roman" w:cs="Times New Roman"/>
        </w:rPr>
        <w:t xml:space="preserve">perhaps </w:t>
      </w:r>
      <w:r w:rsidR="00D6313A" w:rsidRPr="008E4B8C">
        <w:rPr>
          <w:rFonts w:hAnsi="Times New Roman" w:cs="Times New Roman"/>
        </w:rPr>
        <w:t>even international</w:t>
      </w:r>
      <w:r w:rsidR="00B42053" w:rsidRPr="008E4B8C">
        <w:rPr>
          <w:rFonts w:hAnsi="Times New Roman" w:cs="Times New Roman"/>
        </w:rPr>
        <w:t>,</w:t>
      </w:r>
      <w:r w:rsidR="00D6313A" w:rsidRPr="008E4B8C">
        <w:rPr>
          <w:rFonts w:hAnsi="Times New Roman" w:cs="Times New Roman"/>
        </w:rPr>
        <w:t xml:space="preserve"> importance</w:t>
      </w:r>
      <w:r w:rsidR="00B42053" w:rsidRPr="008E4B8C">
        <w:rPr>
          <w:rFonts w:hAnsi="Times New Roman" w:cs="Times New Roman"/>
        </w:rPr>
        <w:t>,</w:t>
      </w:r>
      <w:r w:rsidR="00D6313A" w:rsidRPr="008E4B8C">
        <w:rPr>
          <w:rFonts w:hAnsi="Times New Roman" w:cs="Times New Roman"/>
        </w:rPr>
        <w:t xml:space="preserve"> for its</w:t>
      </w:r>
      <w:r w:rsidR="00D900A5" w:rsidRPr="008E4B8C">
        <w:rPr>
          <w:rFonts w:hAnsi="Times New Roman" w:cs="Times New Roman"/>
        </w:rPr>
        <w:t xml:space="preserve"> historical</w:t>
      </w:r>
      <w:r w:rsidR="00734F28" w:rsidRPr="008E4B8C">
        <w:rPr>
          <w:rFonts w:hAnsi="Times New Roman" w:cs="Times New Roman"/>
        </w:rPr>
        <w:t xml:space="preserve"> and scientific </w:t>
      </w:r>
      <w:r w:rsidR="004B1A93">
        <w:rPr>
          <w:rFonts w:hAnsi="Times New Roman" w:cs="Times New Roman"/>
        </w:rPr>
        <w:t>(</w:t>
      </w:r>
      <w:r w:rsidR="004B1A93" w:rsidRPr="008E4B8C">
        <w:rPr>
          <w:rFonts w:hAnsi="Times New Roman" w:cs="Times New Roman"/>
        </w:rPr>
        <w:t>technical</w:t>
      </w:r>
      <w:r w:rsidR="004B1A93">
        <w:rPr>
          <w:rFonts w:hAnsi="Times New Roman" w:cs="Times New Roman"/>
        </w:rPr>
        <w:t>)</w:t>
      </w:r>
      <w:r w:rsidR="004B1A93" w:rsidRPr="008E4B8C">
        <w:rPr>
          <w:rFonts w:hAnsi="Times New Roman" w:cs="Times New Roman"/>
        </w:rPr>
        <w:t xml:space="preserve"> </w:t>
      </w:r>
      <w:r w:rsidR="00734F28" w:rsidRPr="008E4B8C">
        <w:rPr>
          <w:rFonts w:hAnsi="Times New Roman" w:cs="Times New Roman"/>
        </w:rPr>
        <w:t>values as a</w:t>
      </w:r>
      <w:r w:rsidR="00D900A5" w:rsidRPr="008E4B8C">
        <w:rPr>
          <w:rFonts w:hAnsi="Times New Roman" w:cs="Times New Roman"/>
        </w:rPr>
        <w:t xml:space="preserve">n </w:t>
      </w:r>
      <w:r w:rsidR="00B42053" w:rsidRPr="008E4B8C">
        <w:rPr>
          <w:rFonts w:hAnsi="Times New Roman" w:cs="Times New Roman"/>
        </w:rPr>
        <w:t xml:space="preserve">extensive and </w:t>
      </w:r>
      <w:r w:rsidR="00D900A5" w:rsidRPr="008E4B8C">
        <w:rPr>
          <w:rFonts w:hAnsi="Times New Roman" w:cs="Times New Roman"/>
        </w:rPr>
        <w:t xml:space="preserve">iconic </w:t>
      </w:r>
      <w:r w:rsidR="00734F28" w:rsidRPr="008E4B8C">
        <w:rPr>
          <w:rFonts w:hAnsi="Times New Roman" w:cs="Times New Roman"/>
        </w:rPr>
        <w:t>former industrial site</w:t>
      </w:r>
      <w:r w:rsidR="005971D3" w:rsidRPr="008E4B8C">
        <w:rPr>
          <w:rFonts w:hAnsi="Times New Roman" w:cs="Times New Roman"/>
        </w:rPr>
        <w:t xml:space="preserve"> of its type</w:t>
      </w:r>
      <w:r w:rsidR="00734F28" w:rsidRPr="008E4B8C">
        <w:rPr>
          <w:rFonts w:hAnsi="Times New Roman" w:cs="Times New Roman"/>
        </w:rPr>
        <w:t>.</w:t>
      </w:r>
      <w:r w:rsidR="00F00EFD" w:rsidRPr="008E4B8C">
        <w:rPr>
          <w:rFonts w:hAnsi="Times New Roman" w:cs="Times New Roman"/>
        </w:rPr>
        <w:t xml:space="preserve"> </w:t>
      </w:r>
      <w:r>
        <w:rPr>
          <w:rFonts w:hAnsi="Times New Roman" w:cs="Times New Roman"/>
        </w:rPr>
        <w:t xml:space="preserve">It is not unusual for a heritage place to be recognised as having one or two or perhaps three bases of significance. The subject Place </w:t>
      </w:r>
      <w:r w:rsidR="00E73CFA">
        <w:rPr>
          <w:rFonts w:hAnsi="Times New Roman" w:cs="Times New Roman"/>
        </w:rPr>
        <w:t xml:space="preserve">has five bases of significance, </w:t>
      </w:r>
      <w:r w:rsidR="006D392C">
        <w:rPr>
          <w:rFonts w:hAnsi="Times New Roman" w:cs="Times New Roman"/>
        </w:rPr>
        <w:t xml:space="preserve">those </w:t>
      </w:r>
      <w:r w:rsidR="00E73CFA">
        <w:rPr>
          <w:rFonts w:hAnsi="Times New Roman" w:cs="Times New Roman"/>
        </w:rPr>
        <w:t xml:space="preserve">being historical, scientific (technological), </w:t>
      </w:r>
      <w:r w:rsidR="004B1A93">
        <w:rPr>
          <w:rFonts w:hAnsi="Times New Roman" w:cs="Times New Roman"/>
        </w:rPr>
        <w:t xml:space="preserve">aesthetic, </w:t>
      </w:r>
      <w:r w:rsidR="006D392C">
        <w:rPr>
          <w:rFonts w:hAnsi="Times New Roman" w:cs="Times New Roman"/>
        </w:rPr>
        <w:t>social and archaeological.</w:t>
      </w:r>
    </w:p>
    <w:p w14:paraId="6E40B957" w14:textId="77777777" w:rsidR="00D6305F" w:rsidRDefault="00B42053" w:rsidP="001971C2">
      <w:pPr>
        <w:pStyle w:val="Para1"/>
        <w:numPr>
          <w:ilvl w:val="0"/>
          <w:numId w:val="8"/>
        </w:numPr>
        <w:spacing w:line="240" w:lineRule="auto"/>
        <w:ind w:left="567" w:hanging="567"/>
        <w:rPr>
          <w:rFonts w:hAnsi="Times New Roman" w:cs="Times New Roman"/>
        </w:rPr>
      </w:pPr>
      <w:r w:rsidRPr="00D6305F">
        <w:rPr>
          <w:rFonts w:hAnsi="Times New Roman" w:cs="Times New Roman"/>
        </w:rPr>
        <w:t>T</w:t>
      </w:r>
      <w:r w:rsidR="007F07A7" w:rsidRPr="00D6305F">
        <w:rPr>
          <w:rFonts w:hAnsi="Times New Roman" w:cs="Times New Roman"/>
        </w:rPr>
        <w:t xml:space="preserve">he Committee did not consider comparisons made by the Appellant with other former industrial sites </w:t>
      </w:r>
      <w:r w:rsidR="00871784">
        <w:rPr>
          <w:rFonts w:hAnsi="Times New Roman" w:cs="Times New Roman"/>
        </w:rPr>
        <w:t>i</w:t>
      </w:r>
      <w:r w:rsidR="007F07A7" w:rsidRPr="00D6305F">
        <w:rPr>
          <w:rFonts w:hAnsi="Times New Roman" w:cs="Times New Roman"/>
        </w:rPr>
        <w:t xml:space="preserve">n the Register </w:t>
      </w:r>
      <w:r w:rsidR="004A6A6B" w:rsidRPr="00D6305F">
        <w:rPr>
          <w:rFonts w:hAnsi="Times New Roman" w:cs="Times New Roman"/>
        </w:rPr>
        <w:t xml:space="preserve">useful </w:t>
      </w:r>
      <w:r w:rsidR="007F07A7" w:rsidRPr="00D6305F">
        <w:rPr>
          <w:rFonts w:hAnsi="Times New Roman" w:cs="Times New Roman"/>
        </w:rPr>
        <w:t>in considering the</w:t>
      </w:r>
      <w:r w:rsidR="00CA6F97">
        <w:rPr>
          <w:rFonts w:hAnsi="Times New Roman" w:cs="Times New Roman"/>
        </w:rPr>
        <w:t xml:space="preserve"> </w:t>
      </w:r>
      <w:r w:rsidR="00FD0A3E" w:rsidRPr="00D6305F">
        <w:rPr>
          <w:rFonts w:hAnsi="Times New Roman" w:cs="Times New Roman"/>
        </w:rPr>
        <w:t xml:space="preserve">impacts </w:t>
      </w:r>
      <w:r w:rsidR="00FD0A3E">
        <w:rPr>
          <w:rFonts w:hAnsi="Times New Roman" w:cs="Times New Roman"/>
        </w:rPr>
        <w:t xml:space="preserve">on </w:t>
      </w:r>
      <w:r w:rsidR="00CA6F97">
        <w:rPr>
          <w:rFonts w:hAnsi="Times New Roman" w:cs="Times New Roman"/>
        </w:rPr>
        <w:t>cultural heritage</w:t>
      </w:r>
      <w:r w:rsidR="007F07A7" w:rsidRPr="00D6305F">
        <w:rPr>
          <w:rFonts w:hAnsi="Times New Roman" w:cs="Times New Roman"/>
        </w:rPr>
        <w:t xml:space="preserve"> </w:t>
      </w:r>
      <w:r w:rsidRPr="00D6305F">
        <w:rPr>
          <w:rFonts w:hAnsi="Times New Roman" w:cs="Times New Roman"/>
        </w:rPr>
        <w:t xml:space="preserve">of the </w:t>
      </w:r>
      <w:r w:rsidR="007F07A7" w:rsidRPr="00D6305F">
        <w:rPr>
          <w:rFonts w:hAnsi="Times New Roman" w:cs="Times New Roman"/>
        </w:rPr>
        <w:t xml:space="preserve">proposed works. </w:t>
      </w:r>
      <w:r w:rsidR="003D54B7" w:rsidRPr="00D6305F">
        <w:rPr>
          <w:rFonts w:hAnsi="Times New Roman" w:cs="Times New Roman"/>
        </w:rPr>
        <w:t>Other industrial sites in Melbourne, such as Kinnears Ropeworks</w:t>
      </w:r>
      <w:r w:rsidR="0086040C">
        <w:rPr>
          <w:rFonts w:hAnsi="Times New Roman" w:cs="Times New Roman"/>
        </w:rPr>
        <w:t>, Victoria Brewery</w:t>
      </w:r>
      <w:r w:rsidR="003D54B7" w:rsidRPr="00D6305F">
        <w:rPr>
          <w:rFonts w:hAnsi="Times New Roman" w:cs="Times New Roman"/>
        </w:rPr>
        <w:t xml:space="preserve"> and Yorkshire Brewer</w:t>
      </w:r>
      <w:r w:rsidR="004A6A6B" w:rsidRPr="00D6305F">
        <w:rPr>
          <w:rFonts w:hAnsi="Times New Roman" w:cs="Times New Roman"/>
        </w:rPr>
        <w:t>y</w:t>
      </w:r>
      <w:r w:rsidR="003D54B7" w:rsidRPr="00D6305F">
        <w:rPr>
          <w:rFonts w:hAnsi="Times New Roman" w:cs="Times New Roman"/>
        </w:rPr>
        <w:t>, while of clear significance, do not compare with the landmark and iconic status of the Place</w:t>
      </w:r>
      <w:r w:rsidR="00ED44E3">
        <w:rPr>
          <w:rFonts w:hAnsi="Times New Roman" w:cs="Times New Roman"/>
        </w:rPr>
        <w:t xml:space="preserve"> nor its very high level of </w:t>
      </w:r>
      <w:r w:rsidR="00D0648D">
        <w:rPr>
          <w:rFonts w:hAnsi="Times New Roman" w:cs="Times New Roman"/>
        </w:rPr>
        <w:t>scientific (technological)</w:t>
      </w:r>
      <w:r w:rsidR="00ED44E3">
        <w:rPr>
          <w:rFonts w:hAnsi="Times New Roman" w:cs="Times New Roman"/>
        </w:rPr>
        <w:t xml:space="preserve"> significance.</w:t>
      </w:r>
    </w:p>
    <w:p w14:paraId="44133FEC" w14:textId="77777777" w:rsidR="00D6305F" w:rsidRDefault="007F121F" w:rsidP="001971C2">
      <w:pPr>
        <w:pStyle w:val="Para1"/>
        <w:numPr>
          <w:ilvl w:val="0"/>
          <w:numId w:val="8"/>
        </w:numPr>
        <w:spacing w:line="240" w:lineRule="auto"/>
        <w:ind w:left="567" w:hanging="567"/>
        <w:rPr>
          <w:rFonts w:hAnsi="Times New Roman" w:cs="Times New Roman"/>
        </w:rPr>
      </w:pPr>
      <w:r w:rsidRPr="00D6305F">
        <w:rPr>
          <w:rFonts w:hAnsi="Times New Roman" w:cs="Times New Roman"/>
        </w:rPr>
        <w:t>The Committee considers it useful to separately consider the demolition works and the new works.</w:t>
      </w:r>
    </w:p>
    <w:p w14:paraId="31881F12" w14:textId="77777777" w:rsidR="00352784" w:rsidRDefault="007F121F" w:rsidP="001971C2">
      <w:pPr>
        <w:pStyle w:val="Para1"/>
        <w:numPr>
          <w:ilvl w:val="0"/>
          <w:numId w:val="8"/>
        </w:numPr>
        <w:spacing w:line="240" w:lineRule="auto"/>
        <w:ind w:left="567" w:hanging="567"/>
        <w:rPr>
          <w:rFonts w:hAnsi="Times New Roman" w:cs="Times New Roman"/>
        </w:rPr>
      </w:pPr>
      <w:r w:rsidRPr="00D6305F">
        <w:rPr>
          <w:rFonts w:hAnsi="Times New Roman" w:cs="Times New Roman"/>
        </w:rPr>
        <w:t>So far as demolition is concerned</w:t>
      </w:r>
      <w:r w:rsidR="003A632E" w:rsidRPr="00D6305F">
        <w:rPr>
          <w:rFonts w:hAnsi="Times New Roman" w:cs="Times New Roman"/>
        </w:rPr>
        <w:t>, t</w:t>
      </w:r>
      <w:r w:rsidRPr="00D6305F">
        <w:rPr>
          <w:rFonts w:hAnsi="Times New Roman" w:cs="Times New Roman"/>
        </w:rPr>
        <w:t>he Committee is of the view that the loss of B1, B2</w:t>
      </w:r>
      <w:r w:rsidR="003A212A" w:rsidRPr="00D6305F">
        <w:rPr>
          <w:rFonts w:hAnsi="Times New Roman" w:cs="Times New Roman"/>
        </w:rPr>
        <w:t xml:space="preserve">, </w:t>
      </w:r>
      <w:r w:rsidR="003A632E" w:rsidRPr="00D6305F">
        <w:rPr>
          <w:rFonts w:hAnsi="Times New Roman" w:cs="Times New Roman"/>
        </w:rPr>
        <w:t xml:space="preserve">all but the facade of </w:t>
      </w:r>
      <w:r w:rsidRPr="00D6305F">
        <w:rPr>
          <w:rFonts w:hAnsi="Times New Roman" w:cs="Times New Roman"/>
        </w:rPr>
        <w:t xml:space="preserve">B3 and </w:t>
      </w:r>
      <w:r w:rsidR="003A632E" w:rsidRPr="00D6305F">
        <w:rPr>
          <w:rFonts w:hAnsi="Times New Roman" w:cs="Times New Roman"/>
        </w:rPr>
        <w:t xml:space="preserve">the rear section of </w:t>
      </w:r>
      <w:r w:rsidRPr="00D6305F">
        <w:rPr>
          <w:rFonts w:hAnsi="Times New Roman" w:cs="Times New Roman"/>
        </w:rPr>
        <w:t xml:space="preserve">B4 would have a negative impact on the cultural heritage significance of the Place and its landmark industrial landscape. </w:t>
      </w:r>
      <w:r w:rsidR="003A632E" w:rsidRPr="00D6305F">
        <w:rPr>
          <w:rFonts w:hAnsi="Times New Roman" w:cs="Times New Roman"/>
        </w:rPr>
        <w:t xml:space="preserve">All of this fabric is associated with maltings activity </w:t>
      </w:r>
      <w:r w:rsidR="000B13E0">
        <w:rPr>
          <w:rFonts w:hAnsi="Times New Roman" w:cs="Times New Roman"/>
        </w:rPr>
        <w:t>at</w:t>
      </w:r>
      <w:r w:rsidR="003A632E" w:rsidRPr="00D6305F">
        <w:rPr>
          <w:rFonts w:hAnsi="Times New Roman" w:cs="Times New Roman"/>
        </w:rPr>
        <w:t xml:space="preserve"> the </w:t>
      </w:r>
      <w:r w:rsidR="000B13E0">
        <w:rPr>
          <w:rFonts w:hAnsi="Times New Roman" w:cs="Times New Roman"/>
        </w:rPr>
        <w:t>Place</w:t>
      </w:r>
      <w:r w:rsidR="003A632E" w:rsidRPr="00D6305F">
        <w:rPr>
          <w:rFonts w:hAnsi="Times New Roman" w:cs="Times New Roman"/>
        </w:rPr>
        <w:t xml:space="preserve">. </w:t>
      </w:r>
    </w:p>
    <w:p w14:paraId="4E1CC350" w14:textId="77777777" w:rsidR="00313D37" w:rsidRDefault="00313D37" w:rsidP="001971C2">
      <w:pPr>
        <w:pStyle w:val="Para1"/>
        <w:numPr>
          <w:ilvl w:val="0"/>
          <w:numId w:val="8"/>
        </w:numPr>
        <w:spacing w:line="240" w:lineRule="auto"/>
        <w:ind w:left="567" w:hanging="567"/>
        <w:rPr>
          <w:rFonts w:hAnsi="Times New Roman" w:cs="Times New Roman"/>
        </w:rPr>
      </w:pPr>
      <w:r w:rsidRPr="00313D37">
        <w:rPr>
          <w:rFonts w:hAnsi="Times New Roman" w:cs="Times New Roman"/>
        </w:rPr>
        <w:t>T</w:t>
      </w:r>
      <w:r w:rsidR="003A212A" w:rsidRPr="00313D37">
        <w:rPr>
          <w:rFonts w:hAnsi="Times New Roman" w:cs="Times New Roman"/>
        </w:rPr>
        <w:t>he</w:t>
      </w:r>
      <w:r w:rsidR="00352784" w:rsidRPr="00313D37">
        <w:rPr>
          <w:rFonts w:hAnsi="Times New Roman" w:cs="Times New Roman"/>
        </w:rPr>
        <w:t xml:space="preserve"> B1</w:t>
      </w:r>
      <w:r w:rsidR="003A212A" w:rsidRPr="00313D37">
        <w:rPr>
          <w:rFonts w:hAnsi="Times New Roman" w:cs="Times New Roman"/>
        </w:rPr>
        <w:t xml:space="preserve"> wall</w:t>
      </w:r>
      <w:r w:rsidRPr="00313D37">
        <w:rPr>
          <w:rFonts w:hAnsi="Times New Roman" w:cs="Times New Roman"/>
        </w:rPr>
        <w:t xml:space="preserve"> is</w:t>
      </w:r>
      <w:r w:rsidR="003A212A" w:rsidRPr="00313D37">
        <w:rPr>
          <w:rFonts w:hAnsi="Times New Roman" w:cs="Times New Roman"/>
        </w:rPr>
        <w:t xml:space="preserve"> </w:t>
      </w:r>
      <w:r w:rsidR="00352784" w:rsidRPr="00313D37">
        <w:rPr>
          <w:rFonts w:hAnsi="Times New Roman" w:cs="Times New Roman"/>
        </w:rPr>
        <w:t xml:space="preserve">a </w:t>
      </w:r>
      <w:r w:rsidR="003A212A" w:rsidRPr="00313D37">
        <w:rPr>
          <w:rFonts w:hAnsi="Times New Roman" w:cs="Times New Roman"/>
        </w:rPr>
        <w:t>remnant</w:t>
      </w:r>
      <w:r w:rsidR="00352784" w:rsidRPr="00313D37">
        <w:rPr>
          <w:rFonts w:hAnsi="Times New Roman" w:cs="Times New Roman"/>
        </w:rPr>
        <w:t xml:space="preserve"> of a 1928 malt house and </w:t>
      </w:r>
      <w:r w:rsidRPr="00313D37">
        <w:rPr>
          <w:rFonts w:hAnsi="Times New Roman" w:cs="Times New Roman"/>
        </w:rPr>
        <w:t xml:space="preserve">the </w:t>
      </w:r>
      <w:r w:rsidR="00352784" w:rsidRPr="00313D37">
        <w:rPr>
          <w:rFonts w:hAnsi="Times New Roman" w:cs="Times New Roman"/>
        </w:rPr>
        <w:t xml:space="preserve">B2 </w:t>
      </w:r>
      <w:r w:rsidRPr="00313D37">
        <w:rPr>
          <w:rFonts w:hAnsi="Times New Roman" w:cs="Times New Roman"/>
        </w:rPr>
        <w:t xml:space="preserve">wall </w:t>
      </w:r>
      <w:r w:rsidR="00352784" w:rsidRPr="00313D37">
        <w:rPr>
          <w:rFonts w:hAnsi="Times New Roman" w:cs="Times New Roman"/>
        </w:rPr>
        <w:t xml:space="preserve">is a remnant </w:t>
      </w:r>
      <w:r w:rsidR="009F10D3">
        <w:rPr>
          <w:rFonts w:hAnsi="Times New Roman" w:cs="Times New Roman"/>
        </w:rPr>
        <w:t xml:space="preserve">of a </w:t>
      </w:r>
      <w:r w:rsidR="00352784" w:rsidRPr="00313D37">
        <w:rPr>
          <w:rFonts w:hAnsi="Times New Roman" w:cs="Times New Roman"/>
        </w:rPr>
        <w:t>1903 malt house. Those maltings buildings formerly</w:t>
      </w:r>
      <w:r w:rsidR="003A212A" w:rsidRPr="00313D37">
        <w:rPr>
          <w:rFonts w:hAnsi="Times New Roman" w:cs="Times New Roman"/>
        </w:rPr>
        <w:t xml:space="preserve"> occupied </w:t>
      </w:r>
      <w:r w:rsidRPr="00313D37">
        <w:rPr>
          <w:rFonts w:hAnsi="Times New Roman" w:cs="Times New Roman"/>
        </w:rPr>
        <w:t xml:space="preserve">at least some of </w:t>
      </w:r>
      <w:r w:rsidR="00EB0DD1" w:rsidRPr="00313D37">
        <w:rPr>
          <w:rFonts w:hAnsi="Times New Roman" w:cs="Times New Roman"/>
        </w:rPr>
        <w:t xml:space="preserve">the area of </w:t>
      </w:r>
      <w:r w:rsidR="003A212A" w:rsidRPr="00313D37">
        <w:rPr>
          <w:rFonts w:hAnsi="Times New Roman" w:cs="Times New Roman"/>
        </w:rPr>
        <w:t>the now car park</w:t>
      </w:r>
      <w:r w:rsidR="00352784" w:rsidRPr="00313D37">
        <w:rPr>
          <w:rFonts w:hAnsi="Times New Roman" w:cs="Times New Roman"/>
        </w:rPr>
        <w:t xml:space="preserve">. </w:t>
      </w:r>
      <w:r w:rsidR="009F10D3">
        <w:rPr>
          <w:rFonts w:hAnsi="Times New Roman" w:cs="Times New Roman"/>
        </w:rPr>
        <w:t>While t</w:t>
      </w:r>
      <w:r w:rsidR="00BE2260">
        <w:rPr>
          <w:rFonts w:hAnsi="Times New Roman" w:cs="Times New Roman"/>
        </w:rPr>
        <w:t xml:space="preserve">hey are graded as of secondary significance in the Conservation Management Plan for the Place prepared by Lovell Chen consultants in </w:t>
      </w:r>
      <w:r w:rsidR="00E53AD8">
        <w:rPr>
          <w:rFonts w:hAnsi="Times New Roman" w:cs="Times New Roman"/>
        </w:rPr>
        <w:t xml:space="preserve">2005, </w:t>
      </w:r>
      <w:r w:rsidR="009F10D3">
        <w:rPr>
          <w:rFonts w:hAnsi="Times New Roman" w:cs="Times New Roman"/>
        </w:rPr>
        <w:t>i</w:t>
      </w:r>
      <w:r w:rsidR="00352784" w:rsidRPr="00313D37">
        <w:rPr>
          <w:rFonts w:hAnsi="Times New Roman" w:cs="Times New Roman"/>
        </w:rPr>
        <w:t>n the Committee’s view these</w:t>
      </w:r>
      <w:r w:rsidRPr="00313D37">
        <w:rPr>
          <w:rFonts w:hAnsi="Times New Roman" w:cs="Times New Roman"/>
        </w:rPr>
        <w:t xml:space="preserve"> </w:t>
      </w:r>
      <w:r w:rsidR="00352784" w:rsidRPr="00313D37">
        <w:rPr>
          <w:rFonts w:hAnsi="Times New Roman" w:cs="Times New Roman"/>
        </w:rPr>
        <w:t>brick walls</w:t>
      </w:r>
      <w:r w:rsidR="003A212A" w:rsidRPr="00313D37">
        <w:rPr>
          <w:rFonts w:hAnsi="Times New Roman" w:cs="Times New Roman"/>
        </w:rPr>
        <w:t xml:space="preserve"> </w:t>
      </w:r>
      <w:r w:rsidR="009F10D3">
        <w:rPr>
          <w:rFonts w:hAnsi="Times New Roman" w:cs="Times New Roman"/>
        </w:rPr>
        <w:t xml:space="preserve">importantly </w:t>
      </w:r>
      <w:r w:rsidR="00034F59" w:rsidRPr="00313D37">
        <w:rPr>
          <w:rFonts w:hAnsi="Times New Roman" w:cs="Times New Roman"/>
        </w:rPr>
        <w:t xml:space="preserve">serve to </w:t>
      </w:r>
      <w:r w:rsidRPr="00313D37">
        <w:rPr>
          <w:rFonts w:hAnsi="Times New Roman" w:cs="Times New Roman"/>
        </w:rPr>
        <w:t xml:space="preserve">clearly </w:t>
      </w:r>
      <w:r w:rsidR="003A212A" w:rsidRPr="00313D37">
        <w:rPr>
          <w:rFonts w:hAnsi="Times New Roman" w:cs="Times New Roman"/>
        </w:rPr>
        <w:t>illustrate the full extent of the industrial site.</w:t>
      </w:r>
      <w:r w:rsidR="000D2CAF" w:rsidRPr="00313D37">
        <w:rPr>
          <w:rFonts w:hAnsi="Times New Roman" w:cs="Times New Roman"/>
        </w:rPr>
        <w:t xml:space="preserve"> </w:t>
      </w:r>
      <w:r w:rsidRPr="00313D37">
        <w:rPr>
          <w:rFonts w:hAnsi="Times New Roman" w:cs="Times New Roman"/>
        </w:rPr>
        <w:t xml:space="preserve">This is enabled by their construction of the same or similar red brickwork as many of the other </w:t>
      </w:r>
      <w:r w:rsidR="00BE2260">
        <w:rPr>
          <w:rFonts w:hAnsi="Times New Roman" w:cs="Times New Roman"/>
        </w:rPr>
        <w:t>industrial</w:t>
      </w:r>
      <w:r w:rsidRPr="00313D37">
        <w:rPr>
          <w:rFonts w:hAnsi="Times New Roman" w:cs="Times New Roman"/>
        </w:rPr>
        <w:t xml:space="preserve"> buildings within the </w:t>
      </w:r>
      <w:r w:rsidR="00682F24">
        <w:rPr>
          <w:rFonts w:hAnsi="Times New Roman" w:cs="Times New Roman"/>
        </w:rPr>
        <w:t>Place</w:t>
      </w:r>
      <w:r w:rsidRPr="00313D37">
        <w:rPr>
          <w:rFonts w:hAnsi="Times New Roman" w:cs="Times New Roman"/>
        </w:rPr>
        <w:t xml:space="preserve">. </w:t>
      </w:r>
      <w:r w:rsidR="003A212A" w:rsidRPr="00313D37">
        <w:rPr>
          <w:rFonts w:hAnsi="Times New Roman" w:cs="Times New Roman"/>
        </w:rPr>
        <w:t>B</w:t>
      </w:r>
      <w:r w:rsidRPr="00313D37">
        <w:rPr>
          <w:rFonts w:hAnsi="Times New Roman" w:cs="Times New Roman"/>
        </w:rPr>
        <w:t>uilding B</w:t>
      </w:r>
      <w:r w:rsidR="003A212A" w:rsidRPr="00313D37">
        <w:rPr>
          <w:rFonts w:hAnsi="Times New Roman" w:cs="Times New Roman"/>
        </w:rPr>
        <w:t>3 is an office building constructed in 19</w:t>
      </w:r>
      <w:r w:rsidR="001506CC" w:rsidRPr="00313D37">
        <w:rPr>
          <w:rFonts w:hAnsi="Times New Roman" w:cs="Times New Roman"/>
        </w:rPr>
        <w:t>2</w:t>
      </w:r>
      <w:r w:rsidRPr="00313D37">
        <w:rPr>
          <w:rFonts w:hAnsi="Times New Roman" w:cs="Times New Roman"/>
        </w:rPr>
        <w:t>2</w:t>
      </w:r>
      <w:r w:rsidR="001506CC" w:rsidRPr="00313D37">
        <w:rPr>
          <w:rFonts w:hAnsi="Times New Roman" w:cs="Times New Roman"/>
        </w:rPr>
        <w:t xml:space="preserve"> </w:t>
      </w:r>
      <w:r w:rsidRPr="00313D37">
        <w:rPr>
          <w:rFonts w:hAnsi="Times New Roman" w:cs="Times New Roman"/>
        </w:rPr>
        <w:t>for</w:t>
      </w:r>
      <w:r w:rsidR="00034F59" w:rsidRPr="00313D37">
        <w:rPr>
          <w:rFonts w:hAnsi="Times New Roman" w:cs="Times New Roman"/>
        </w:rPr>
        <w:t xml:space="preserve"> the maltings use</w:t>
      </w:r>
      <w:r w:rsidRPr="00313D37">
        <w:rPr>
          <w:rFonts w:hAnsi="Times New Roman" w:cs="Times New Roman"/>
        </w:rPr>
        <w:t>. Building</w:t>
      </w:r>
      <w:r w:rsidR="001506CC" w:rsidRPr="00313D37">
        <w:rPr>
          <w:rFonts w:hAnsi="Times New Roman" w:cs="Times New Roman"/>
        </w:rPr>
        <w:t xml:space="preserve"> B4 is</w:t>
      </w:r>
      <w:r w:rsidR="00034F59" w:rsidRPr="00313D37">
        <w:rPr>
          <w:rFonts w:hAnsi="Times New Roman" w:cs="Times New Roman"/>
        </w:rPr>
        <w:t xml:space="preserve"> </w:t>
      </w:r>
      <w:r w:rsidR="000D2CAF" w:rsidRPr="00313D37">
        <w:rPr>
          <w:rFonts w:hAnsi="Times New Roman" w:cs="Times New Roman"/>
        </w:rPr>
        <w:t xml:space="preserve">a late 1930s malt house. </w:t>
      </w:r>
    </w:p>
    <w:p w14:paraId="407DC2BB" w14:textId="77777777" w:rsidR="00361713" w:rsidRPr="00313D37" w:rsidRDefault="007F121F" w:rsidP="001971C2">
      <w:pPr>
        <w:pStyle w:val="Para1"/>
        <w:numPr>
          <w:ilvl w:val="0"/>
          <w:numId w:val="8"/>
        </w:numPr>
        <w:spacing w:line="240" w:lineRule="auto"/>
        <w:ind w:left="567" w:hanging="567"/>
        <w:rPr>
          <w:rFonts w:hAnsi="Times New Roman" w:cs="Times New Roman"/>
        </w:rPr>
      </w:pPr>
      <w:r w:rsidRPr="00313D37">
        <w:rPr>
          <w:rFonts w:hAnsi="Times New Roman" w:cs="Times New Roman"/>
        </w:rPr>
        <w:t xml:space="preserve">The Committee nevertheless acknowledges </w:t>
      </w:r>
      <w:r w:rsidR="003A632E" w:rsidRPr="00313D37">
        <w:rPr>
          <w:rFonts w:hAnsi="Times New Roman" w:cs="Times New Roman"/>
        </w:rPr>
        <w:t>that</w:t>
      </w:r>
      <w:r w:rsidRPr="00313D37">
        <w:rPr>
          <w:rFonts w:hAnsi="Times New Roman" w:cs="Times New Roman"/>
        </w:rPr>
        <w:t xml:space="preserve"> the Appellant </w:t>
      </w:r>
      <w:r w:rsidR="003A632E" w:rsidRPr="00313D37">
        <w:rPr>
          <w:rFonts w:hAnsi="Times New Roman" w:cs="Times New Roman"/>
        </w:rPr>
        <w:t xml:space="preserve">indicated a willingness to instead retain </w:t>
      </w:r>
      <w:r w:rsidR="00034F59" w:rsidRPr="00313D37">
        <w:rPr>
          <w:rFonts w:hAnsi="Times New Roman" w:cs="Times New Roman"/>
        </w:rPr>
        <w:t xml:space="preserve">most of the </w:t>
      </w:r>
      <w:r w:rsidR="003A632E" w:rsidRPr="00313D37">
        <w:rPr>
          <w:rFonts w:hAnsi="Times New Roman" w:cs="Times New Roman"/>
        </w:rPr>
        <w:t>fabric</w:t>
      </w:r>
      <w:r w:rsidRPr="00313D37">
        <w:rPr>
          <w:rFonts w:hAnsi="Times New Roman" w:cs="Times New Roman"/>
        </w:rPr>
        <w:t xml:space="preserve"> </w:t>
      </w:r>
      <w:r w:rsidR="00034F59" w:rsidRPr="00313D37">
        <w:rPr>
          <w:rFonts w:hAnsi="Times New Roman" w:cs="Times New Roman"/>
        </w:rPr>
        <w:t xml:space="preserve">of B1, B2 and B3 </w:t>
      </w:r>
      <w:r w:rsidRPr="00313D37">
        <w:rPr>
          <w:rFonts w:hAnsi="Times New Roman" w:cs="Times New Roman"/>
        </w:rPr>
        <w:t>if the Committee though</w:t>
      </w:r>
      <w:r w:rsidR="00DD5023">
        <w:rPr>
          <w:rFonts w:hAnsi="Times New Roman" w:cs="Times New Roman"/>
        </w:rPr>
        <w:t>t</w:t>
      </w:r>
      <w:r w:rsidRPr="00313D37">
        <w:rPr>
          <w:rFonts w:hAnsi="Times New Roman" w:cs="Times New Roman"/>
        </w:rPr>
        <w:t xml:space="preserve"> it would be appropriate</w:t>
      </w:r>
      <w:r w:rsidR="003A632E" w:rsidRPr="00313D37">
        <w:rPr>
          <w:rFonts w:hAnsi="Times New Roman" w:cs="Times New Roman"/>
        </w:rPr>
        <w:t xml:space="preserve">. Specifically it was </w:t>
      </w:r>
      <w:r w:rsidR="00313D37">
        <w:rPr>
          <w:rFonts w:hAnsi="Times New Roman" w:cs="Times New Roman"/>
        </w:rPr>
        <w:t>sai</w:t>
      </w:r>
      <w:r w:rsidR="00313D37" w:rsidRPr="00313D37">
        <w:rPr>
          <w:rFonts w:hAnsi="Times New Roman" w:cs="Times New Roman"/>
        </w:rPr>
        <w:t xml:space="preserve">d </w:t>
      </w:r>
      <w:r w:rsidRPr="00313D37">
        <w:rPr>
          <w:rFonts w:hAnsi="Times New Roman" w:cs="Times New Roman"/>
        </w:rPr>
        <w:t xml:space="preserve">that B1 and B2 might be retained </w:t>
      </w:r>
      <w:r w:rsidR="00034F59" w:rsidRPr="00313D37">
        <w:rPr>
          <w:rFonts w:hAnsi="Times New Roman" w:cs="Times New Roman"/>
        </w:rPr>
        <w:t xml:space="preserve">in part or in </w:t>
      </w:r>
      <w:r w:rsidR="00313D37">
        <w:rPr>
          <w:rFonts w:hAnsi="Times New Roman" w:cs="Times New Roman"/>
        </w:rPr>
        <w:t>whole</w:t>
      </w:r>
      <w:r w:rsidR="00313D37" w:rsidRPr="00313D37">
        <w:rPr>
          <w:rFonts w:hAnsi="Times New Roman" w:cs="Times New Roman"/>
        </w:rPr>
        <w:t xml:space="preserve"> </w:t>
      </w:r>
      <w:r w:rsidRPr="00313D37">
        <w:rPr>
          <w:rFonts w:hAnsi="Times New Roman" w:cs="Times New Roman"/>
        </w:rPr>
        <w:t xml:space="preserve">and </w:t>
      </w:r>
      <w:r w:rsidR="00313D37">
        <w:rPr>
          <w:rFonts w:hAnsi="Times New Roman" w:cs="Times New Roman"/>
        </w:rPr>
        <w:t xml:space="preserve">more or </w:t>
      </w:r>
      <w:r w:rsidRPr="00313D37">
        <w:rPr>
          <w:rFonts w:hAnsi="Times New Roman" w:cs="Times New Roman"/>
        </w:rPr>
        <w:t>most of B3</w:t>
      </w:r>
      <w:r w:rsidR="00034F59" w:rsidRPr="00313D37">
        <w:rPr>
          <w:rFonts w:hAnsi="Times New Roman" w:cs="Times New Roman"/>
        </w:rPr>
        <w:t xml:space="preserve"> </w:t>
      </w:r>
      <w:r w:rsidR="00313D37">
        <w:rPr>
          <w:rFonts w:hAnsi="Times New Roman" w:cs="Times New Roman"/>
        </w:rPr>
        <w:t xml:space="preserve">might be retained </w:t>
      </w:r>
      <w:r w:rsidR="00034F59" w:rsidRPr="00313D37">
        <w:rPr>
          <w:rFonts w:hAnsi="Times New Roman" w:cs="Times New Roman"/>
        </w:rPr>
        <w:t xml:space="preserve">behind </w:t>
      </w:r>
      <w:r w:rsidR="00313D37">
        <w:rPr>
          <w:rFonts w:hAnsi="Times New Roman" w:cs="Times New Roman"/>
        </w:rPr>
        <w:t>its</w:t>
      </w:r>
      <w:r w:rsidR="00034F59" w:rsidRPr="00313D37">
        <w:rPr>
          <w:rFonts w:hAnsi="Times New Roman" w:cs="Times New Roman"/>
        </w:rPr>
        <w:t xml:space="preserve"> facade</w:t>
      </w:r>
      <w:r w:rsidRPr="00313D37">
        <w:rPr>
          <w:rFonts w:hAnsi="Times New Roman" w:cs="Times New Roman"/>
        </w:rPr>
        <w:t xml:space="preserve">. </w:t>
      </w:r>
      <w:r w:rsidR="00034F59" w:rsidRPr="00313D37">
        <w:rPr>
          <w:rFonts w:hAnsi="Times New Roman" w:cs="Times New Roman"/>
        </w:rPr>
        <w:t>The Committee agrees that t</w:t>
      </w:r>
      <w:r w:rsidR="003A632E" w:rsidRPr="00313D37">
        <w:rPr>
          <w:rFonts w:hAnsi="Times New Roman" w:cs="Times New Roman"/>
        </w:rPr>
        <w:t xml:space="preserve">his would </w:t>
      </w:r>
      <w:r w:rsidR="00034F59" w:rsidRPr="00313D37">
        <w:rPr>
          <w:rFonts w:hAnsi="Times New Roman" w:cs="Times New Roman"/>
        </w:rPr>
        <w:t xml:space="preserve">go some way to </w:t>
      </w:r>
      <w:r w:rsidR="003A632E" w:rsidRPr="00313D37">
        <w:rPr>
          <w:rFonts w:hAnsi="Times New Roman" w:cs="Times New Roman"/>
        </w:rPr>
        <w:t>alleviat</w:t>
      </w:r>
      <w:r w:rsidR="00034F59" w:rsidRPr="00313D37">
        <w:rPr>
          <w:rFonts w:hAnsi="Times New Roman" w:cs="Times New Roman"/>
        </w:rPr>
        <w:t>ing</w:t>
      </w:r>
      <w:r w:rsidR="004B07DD" w:rsidRPr="00313D37">
        <w:rPr>
          <w:rFonts w:hAnsi="Times New Roman" w:cs="Times New Roman"/>
        </w:rPr>
        <w:t xml:space="preserve"> </w:t>
      </w:r>
      <w:r w:rsidR="003A632E" w:rsidRPr="00313D37">
        <w:rPr>
          <w:rFonts w:hAnsi="Times New Roman" w:cs="Times New Roman"/>
        </w:rPr>
        <w:t>concern about adverse impacts</w:t>
      </w:r>
      <w:r w:rsidR="00034F59" w:rsidRPr="00313D37">
        <w:rPr>
          <w:rFonts w:hAnsi="Times New Roman" w:cs="Times New Roman"/>
        </w:rPr>
        <w:t xml:space="preserve"> upon cultural heritage significance</w:t>
      </w:r>
      <w:r w:rsidR="00313D37">
        <w:rPr>
          <w:rFonts w:hAnsi="Times New Roman" w:cs="Times New Roman"/>
        </w:rPr>
        <w:t xml:space="preserve"> by the removal of original fabric, and loss of appreciation of the extent of the industrial site</w:t>
      </w:r>
      <w:r w:rsidR="00034F59" w:rsidRPr="00313D37">
        <w:rPr>
          <w:rFonts w:hAnsi="Times New Roman" w:cs="Times New Roman"/>
        </w:rPr>
        <w:t>.</w:t>
      </w:r>
    </w:p>
    <w:p w14:paraId="33A464A3" w14:textId="77777777" w:rsidR="00361713" w:rsidRDefault="001506CC"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T</w:t>
      </w:r>
      <w:r w:rsidR="003A632E" w:rsidRPr="00361713">
        <w:rPr>
          <w:rFonts w:hAnsi="Times New Roman" w:cs="Times New Roman"/>
        </w:rPr>
        <w:t xml:space="preserve">his leaves the proposed removal of </w:t>
      </w:r>
      <w:r w:rsidR="00AF06F5" w:rsidRPr="00361713">
        <w:rPr>
          <w:rFonts w:hAnsi="Times New Roman" w:cs="Times New Roman"/>
        </w:rPr>
        <w:t xml:space="preserve">the rear </w:t>
      </w:r>
      <w:r w:rsidR="00AB737E" w:rsidRPr="00361713">
        <w:rPr>
          <w:rFonts w:hAnsi="Times New Roman" w:cs="Times New Roman"/>
        </w:rPr>
        <w:t xml:space="preserve">section of building </w:t>
      </w:r>
      <w:r w:rsidR="003A632E" w:rsidRPr="00361713">
        <w:rPr>
          <w:rFonts w:hAnsi="Times New Roman" w:cs="Times New Roman"/>
        </w:rPr>
        <w:t xml:space="preserve">B4. This is a matter of </w:t>
      </w:r>
      <w:r w:rsidR="00034F59" w:rsidRPr="00B45312">
        <w:rPr>
          <w:rFonts w:hAnsi="Times New Roman" w:cs="Times New Roman"/>
        </w:rPr>
        <w:t xml:space="preserve">greater </w:t>
      </w:r>
      <w:r w:rsidR="003A632E" w:rsidRPr="00B45312">
        <w:rPr>
          <w:rFonts w:hAnsi="Times New Roman" w:cs="Times New Roman"/>
        </w:rPr>
        <w:t>concern</w:t>
      </w:r>
      <w:r w:rsidR="00DD5023" w:rsidRPr="00B45312">
        <w:rPr>
          <w:rFonts w:hAnsi="Times New Roman" w:cs="Times New Roman"/>
        </w:rPr>
        <w:t>. T</w:t>
      </w:r>
      <w:r w:rsidR="003A632E" w:rsidRPr="00B45312">
        <w:rPr>
          <w:rFonts w:hAnsi="Times New Roman" w:cs="Times New Roman"/>
        </w:rPr>
        <w:t xml:space="preserve">his </w:t>
      </w:r>
      <w:r w:rsidR="005E0183" w:rsidRPr="00B45312">
        <w:rPr>
          <w:rFonts w:hAnsi="Times New Roman" w:cs="Times New Roman"/>
        </w:rPr>
        <w:t>late 1930s malt</w:t>
      </w:r>
      <w:r w:rsidR="00B45312">
        <w:rPr>
          <w:rFonts w:hAnsi="Times New Roman" w:cs="Times New Roman"/>
        </w:rPr>
        <w:t xml:space="preserve"> </w:t>
      </w:r>
      <w:r w:rsidR="005E0183" w:rsidRPr="00B45312">
        <w:rPr>
          <w:rFonts w:hAnsi="Times New Roman" w:cs="Times New Roman"/>
        </w:rPr>
        <w:t xml:space="preserve">house </w:t>
      </w:r>
      <w:r w:rsidR="003A632E" w:rsidRPr="00B45312">
        <w:rPr>
          <w:rFonts w:hAnsi="Times New Roman" w:cs="Times New Roman"/>
        </w:rPr>
        <w:t xml:space="preserve">is acknowledged in </w:t>
      </w:r>
      <w:r w:rsidR="00034F59" w:rsidRPr="00B45312">
        <w:rPr>
          <w:rFonts w:hAnsi="Times New Roman" w:cs="Times New Roman"/>
        </w:rPr>
        <w:t xml:space="preserve">the Conservation Management Plan and </w:t>
      </w:r>
      <w:r w:rsidR="00E53AD8" w:rsidRPr="00B45312">
        <w:rPr>
          <w:rFonts w:hAnsi="Times New Roman" w:cs="Times New Roman"/>
        </w:rPr>
        <w:t>in evidence</w:t>
      </w:r>
      <w:r w:rsidR="003A632E" w:rsidRPr="00B45312">
        <w:rPr>
          <w:rFonts w:hAnsi="Times New Roman" w:cs="Times New Roman"/>
        </w:rPr>
        <w:t xml:space="preserve"> as one of the most significant </w:t>
      </w:r>
      <w:r w:rsidR="00682F24">
        <w:rPr>
          <w:rFonts w:hAnsi="Times New Roman" w:cs="Times New Roman"/>
        </w:rPr>
        <w:t>at</w:t>
      </w:r>
      <w:r w:rsidR="003A632E" w:rsidRPr="00B45312">
        <w:rPr>
          <w:rFonts w:hAnsi="Times New Roman" w:cs="Times New Roman"/>
        </w:rPr>
        <w:t xml:space="preserve"> the </w:t>
      </w:r>
      <w:r w:rsidR="00682F24">
        <w:rPr>
          <w:rFonts w:hAnsi="Times New Roman" w:cs="Times New Roman"/>
        </w:rPr>
        <w:t>Place</w:t>
      </w:r>
      <w:r w:rsidR="003A632E" w:rsidRPr="00B45312">
        <w:rPr>
          <w:rFonts w:hAnsi="Times New Roman" w:cs="Times New Roman"/>
        </w:rPr>
        <w:t xml:space="preserve">. </w:t>
      </w:r>
      <w:r w:rsidR="00AB737E" w:rsidRPr="00B45312">
        <w:rPr>
          <w:rFonts w:hAnsi="Times New Roman" w:cs="Times New Roman"/>
        </w:rPr>
        <w:t>The rear</w:t>
      </w:r>
      <w:r w:rsidR="00AB737E" w:rsidRPr="00361713">
        <w:rPr>
          <w:rFonts w:hAnsi="Times New Roman" w:cs="Times New Roman"/>
        </w:rPr>
        <w:t xml:space="preserve"> section </w:t>
      </w:r>
      <w:r w:rsidR="005E0183">
        <w:rPr>
          <w:rFonts w:hAnsi="Times New Roman" w:cs="Times New Roman"/>
        </w:rPr>
        <w:t xml:space="preserve">to be demolished </w:t>
      </w:r>
      <w:r w:rsidR="00AB737E" w:rsidRPr="00361713">
        <w:rPr>
          <w:rFonts w:hAnsi="Times New Roman" w:cs="Times New Roman"/>
        </w:rPr>
        <w:t xml:space="preserve">is identified as part of the original building. </w:t>
      </w:r>
      <w:r w:rsidR="00DD5023">
        <w:rPr>
          <w:rFonts w:hAnsi="Times New Roman" w:cs="Times New Roman"/>
        </w:rPr>
        <w:t>T</w:t>
      </w:r>
      <w:r w:rsidR="003A632E" w:rsidRPr="00361713">
        <w:rPr>
          <w:rFonts w:hAnsi="Times New Roman" w:cs="Times New Roman"/>
        </w:rPr>
        <w:t xml:space="preserve">he removal of the rear portion </w:t>
      </w:r>
      <w:r w:rsidR="005E0183">
        <w:rPr>
          <w:rFonts w:hAnsi="Times New Roman" w:cs="Times New Roman"/>
        </w:rPr>
        <w:t xml:space="preserve">of B4 </w:t>
      </w:r>
      <w:r w:rsidR="003A632E" w:rsidRPr="00361713">
        <w:rPr>
          <w:rFonts w:hAnsi="Times New Roman" w:cs="Times New Roman"/>
        </w:rPr>
        <w:t xml:space="preserve">is </w:t>
      </w:r>
      <w:r w:rsidR="00DD5023">
        <w:rPr>
          <w:rFonts w:hAnsi="Times New Roman" w:cs="Times New Roman"/>
        </w:rPr>
        <w:t xml:space="preserve">also </w:t>
      </w:r>
      <w:r w:rsidR="003A632E" w:rsidRPr="00361713">
        <w:rPr>
          <w:rFonts w:hAnsi="Times New Roman" w:cs="Times New Roman"/>
        </w:rPr>
        <w:t xml:space="preserve">for the </w:t>
      </w:r>
      <w:r w:rsidR="00B42053" w:rsidRPr="00361713">
        <w:rPr>
          <w:rFonts w:hAnsi="Times New Roman" w:cs="Times New Roman"/>
        </w:rPr>
        <w:t>principal</w:t>
      </w:r>
      <w:r w:rsidR="003A632E" w:rsidRPr="00361713">
        <w:rPr>
          <w:rFonts w:hAnsi="Times New Roman" w:cs="Times New Roman"/>
        </w:rPr>
        <w:t xml:space="preserve"> purpose of providing space for the construction of the proposed new southern building</w:t>
      </w:r>
      <w:r w:rsidR="00E1037D">
        <w:rPr>
          <w:rFonts w:hAnsi="Times New Roman" w:cs="Times New Roman"/>
        </w:rPr>
        <w:t xml:space="preserve"> </w:t>
      </w:r>
      <w:r w:rsidR="003A632E" w:rsidRPr="00361713">
        <w:rPr>
          <w:rFonts w:hAnsi="Times New Roman" w:cs="Times New Roman"/>
        </w:rPr>
        <w:t xml:space="preserve">– which </w:t>
      </w:r>
      <w:r w:rsidR="005E0183">
        <w:rPr>
          <w:rFonts w:hAnsi="Times New Roman" w:cs="Times New Roman"/>
        </w:rPr>
        <w:t>the Committee</w:t>
      </w:r>
      <w:r w:rsidR="005E0183" w:rsidRPr="00361713">
        <w:rPr>
          <w:rFonts w:hAnsi="Times New Roman" w:cs="Times New Roman"/>
        </w:rPr>
        <w:t xml:space="preserve"> </w:t>
      </w:r>
      <w:r w:rsidR="003A632E" w:rsidRPr="00361713">
        <w:rPr>
          <w:rFonts w:hAnsi="Times New Roman" w:cs="Times New Roman"/>
        </w:rPr>
        <w:t>regard</w:t>
      </w:r>
      <w:r w:rsidR="005E0183">
        <w:rPr>
          <w:rFonts w:hAnsi="Times New Roman" w:cs="Times New Roman"/>
        </w:rPr>
        <w:t>s</w:t>
      </w:r>
      <w:r w:rsidR="003A632E" w:rsidRPr="00361713">
        <w:rPr>
          <w:rFonts w:hAnsi="Times New Roman" w:cs="Times New Roman"/>
        </w:rPr>
        <w:t xml:space="preserve"> as over</w:t>
      </w:r>
      <w:r w:rsidR="00034F59" w:rsidRPr="00361713">
        <w:rPr>
          <w:rFonts w:hAnsi="Times New Roman" w:cs="Times New Roman"/>
        </w:rPr>
        <w:t>-</w:t>
      </w:r>
      <w:r w:rsidR="003A632E" w:rsidRPr="00361713">
        <w:rPr>
          <w:rFonts w:hAnsi="Times New Roman" w:cs="Times New Roman"/>
        </w:rPr>
        <w:t>scaled</w:t>
      </w:r>
      <w:r w:rsidR="00CE3275" w:rsidRPr="00361713">
        <w:rPr>
          <w:rFonts w:hAnsi="Times New Roman" w:cs="Times New Roman"/>
        </w:rPr>
        <w:t xml:space="preserve"> and unacceptable in terms of its effect on signifi</w:t>
      </w:r>
      <w:r w:rsidR="008043B2" w:rsidRPr="00361713">
        <w:rPr>
          <w:rFonts w:hAnsi="Times New Roman" w:cs="Times New Roman"/>
        </w:rPr>
        <w:t>cance</w:t>
      </w:r>
      <w:r w:rsidRPr="00361713">
        <w:rPr>
          <w:rFonts w:hAnsi="Times New Roman" w:cs="Times New Roman"/>
        </w:rPr>
        <w:t xml:space="preserve"> as outlined below</w:t>
      </w:r>
      <w:r w:rsidR="003A632E" w:rsidRPr="00361713">
        <w:rPr>
          <w:rFonts w:hAnsi="Times New Roman" w:cs="Times New Roman"/>
        </w:rPr>
        <w:t xml:space="preserve">. </w:t>
      </w:r>
      <w:r w:rsidR="005E0183">
        <w:rPr>
          <w:rFonts w:hAnsi="Times New Roman" w:cs="Times New Roman"/>
        </w:rPr>
        <w:t>The Committee</w:t>
      </w:r>
      <w:r w:rsidR="005E0183" w:rsidRPr="00361713">
        <w:rPr>
          <w:rFonts w:hAnsi="Times New Roman" w:cs="Times New Roman"/>
        </w:rPr>
        <w:t xml:space="preserve"> </w:t>
      </w:r>
      <w:r w:rsidR="003A632E" w:rsidRPr="00361713">
        <w:rPr>
          <w:rFonts w:hAnsi="Times New Roman" w:cs="Times New Roman"/>
        </w:rPr>
        <w:t>also do</w:t>
      </w:r>
      <w:r w:rsidR="005E0183">
        <w:rPr>
          <w:rFonts w:hAnsi="Times New Roman" w:cs="Times New Roman"/>
        </w:rPr>
        <w:t>es</w:t>
      </w:r>
      <w:r w:rsidR="003A632E" w:rsidRPr="00361713">
        <w:rPr>
          <w:rFonts w:hAnsi="Times New Roman" w:cs="Times New Roman"/>
        </w:rPr>
        <w:t xml:space="preserve"> not consider that the </w:t>
      </w:r>
      <w:r w:rsidRPr="00361713">
        <w:rPr>
          <w:rFonts w:hAnsi="Times New Roman" w:cs="Times New Roman"/>
        </w:rPr>
        <w:t xml:space="preserve">resultant </w:t>
      </w:r>
      <w:r w:rsidR="003A632E" w:rsidRPr="00361713">
        <w:rPr>
          <w:rFonts w:hAnsi="Times New Roman" w:cs="Times New Roman"/>
        </w:rPr>
        <w:t>separation of the old and new buildings is adequate in any case</w:t>
      </w:r>
      <w:r w:rsidR="00034F59" w:rsidRPr="00361713">
        <w:rPr>
          <w:rFonts w:hAnsi="Times New Roman" w:cs="Times New Roman"/>
        </w:rPr>
        <w:t xml:space="preserve"> a</w:t>
      </w:r>
      <w:r w:rsidRPr="00361713">
        <w:rPr>
          <w:rFonts w:hAnsi="Times New Roman" w:cs="Times New Roman"/>
        </w:rPr>
        <w:t>s also discussed below.</w:t>
      </w:r>
      <w:r w:rsidR="003A632E" w:rsidRPr="00361713">
        <w:rPr>
          <w:rFonts w:hAnsi="Times New Roman" w:cs="Times New Roman"/>
        </w:rPr>
        <w:t xml:space="preserve"> </w:t>
      </w:r>
    </w:p>
    <w:p w14:paraId="44B59FD9" w14:textId="5B792CBC" w:rsidR="00361713" w:rsidRDefault="009F10D3" w:rsidP="001971C2">
      <w:pPr>
        <w:pStyle w:val="Para1"/>
        <w:numPr>
          <w:ilvl w:val="0"/>
          <w:numId w:val="8"/>
        </w:numPr>
        <w:spacing w:line="240" w:lineRule="auto"/>
        <w:ind w:left="567" w:hanging="567"/>
        <w:rPr>
          <w:rFonts w:hAnsi="Times New Roman" w:cs="Times New Roman"/>
        </w:rPr>
      </w:pPr>
      <w:r>
        <w:rPr>
          <w:rFonts w:hAnsi="Times New Roman" w:cs="Times New Roman"/>
        </w:rPr>
        <w:t>The Committee</w:t>
      </w:r>
      <w:r w:rsidR="00DA348F">
        <w:rPr>
          <w:rFonts w:hAnsi="Times New Roman" w:cs="Times New Roman"/>
        </w:rPr>
        <w:t xml:space="preserve"> </w:t>
      </w:r>
      <w:r w:rsidR="00CF0FF2">
        <w:rPr>
          <w:rFonts w:hAnsi="Times New Roman" w:cs="Times New Roman"/>
        </w:rPr>
        <w:t>considers that the</w:t>
      </w:r>
      <w:r>
        <w:rPr>
          <w:rFonts w:hAnsi="Times New Roman" w:cs="Times New Roman"/>
        </w:rPr>
        <w:t xml:space="preserve"> proposed new </w:t>
      </w:r>
      <w:r w:rsidR="0085526B">
        <w:rPr>
          <w:rFonts w:hAnsi="Times New Roman" w:cs="Times New Roman"/>
        </w:rPr>
        <w:t>buildings</w:t>
      </w:r>
      <w:r w:rsidR="00CF0FF2">
        <w:rPr>
          <w:rFonts w:hAnsi="Times New Roman" w:cs="Times New Roman"/>
        </w:rPr>
        <w:t xml:space="preserve"> would have the most substantial of the adverse impacts on the cultural heritage significance of the Place. In particular, th</w:t>
      </w:r>
      <w:r w:rsidR="00DD32D4">
        <w:rPr>
          <w:rFonts w:hAnsi="Times New Roman" w:cs="Times New Roman"/>
        </w:rPr>
        <w:t>e Committee considers that</w:t>
      </w:r>
      <w:r w:rsidR="00CF0FF2" w:rsidRPr="00CF0FF2">
        <w:rPr>
          <w:rFonts w:hAnsi="Times New Roman" w:cs="Times New Roman"/>
        </w:rPr>
        <w:t xml:space="preserve"> </w:t>
      </w:r>
      <w:r w:rsidR="00CF0FF2" w:rsidRPr="00361713">
        <w:rPr>
          <w:rFonts w:hAnsi="Times New Roman" w:cs="Times New Roman"/>
        </w:rPr>
        <w:t>the proposed new buildings</w:t>
      </w:r>
      <w:r w:rsidR="003A632E" w:rsidRPr="00361713">
        <w:rPr>
          <w:rFonts w:hAnsi="Times New Roman" w:cs="Times New Roman"/>
        </w:rPr>
        <w:t xml:space="preserve"> would have the effect of </w:t>
      </w:r>
      <w:r w:rsidR="00727EA1" w:rsidRPr="00361713">
        <w:rPr>
          <w:rFonts w:hAnsi="Times New Roman" w:cs="Times New Roman"/>
        </w:rPr>
        <w:t xml:space="preserve">visually </w:t>
      </w:r>
      <w:r w:rsidR="003A632E" w:rsidRPr="00361713">
        <w:rPr>
          <w:rFonts w:hAnsi="Times New Roman" w:cs="Times New Roman"/>
        </w:rPr>
        <w:t xml:space="preserve">overwhelming the extant buildings </w:t>
      </w:r>
      <w:r w:rsidR="00DE5DE4" w:rsidRPr="00361713">
        <w:rPr>
          <w:rFonts w:hAnsi="Times New Roman" w:cs="Times New Roman"/>
        </w:rPr>
        <w:t xml:space="preserve">of </w:t>
      </w:r>
      <w:r w:rsidR="003A632E" w:rsidRPr="00361713">
        <w:rPr>
          <w:rFonts w:hAnsi="Times New Roman" w:cs="Times New Roman"/>
        </w:rPr>
        <w:t>the Place</w:t>
      </w:r>
      <w:r w:rsidR="00727EA1" w:rsidRPr="00361713">
        <w:rPr>
          <w:rFonts w:hAnsi="Times New Roman" w:cs="Times New Roman"/>
        </w:rPr>
        <w:t>.</w:t>
      </w:r>
      <w:r w:rsidR="00034F59" w:rsidRPr="00361713">
        <w:rPr>
          <w:rFonts w:hAnsi="Times New Roman" w:cs="Times New Roman"/>
        </w:rPr>
        <w:t xml:space="preserve"> This is both as viewed from within and </w:t>
      </w:r>
      <w:r w:rsidR="00DD32D4">
        <w:rPr>
          <w:rFonts w:hAnsi="Times New Roman" w:cs="Times New Roman"/>
        </w:rPr>
        <w:t xml:space="preserve">from </w:t>
      </w:r>
      <w:r w:rsidR="00034F59" w:rsidRPr="00361713">
        <w:rPr>
          <w:rFonts w:hAnsi="Times New Roman" w:cs="Times New Roman"/>
        </w:rPr>
        <w:t xml:space="preserve">outside the </w:t>
      </w:r>
      <w:r w:rsidR="008B4006">
        <w:rPr>
          <w:rFonts w:hAnsi="Times New Roman" w:cs="Times New Roman"/>
        </w:rPr>
        <w:t>Place</w:t>
      </w:r>
      <w:r w:rsidR="00034F59" w:rsidRPr="00361713">
        <w:rPr>
          <w:rFonts w:hAnsi="Times New Roman" w:cs="Times New Roman"/>
        </w:rPr>
        <w:t>.</w:t>
      </w:r>
      <w:r w:rsidR="00484FC4" w:rsidRPr="00361713">
        <w:rPr>
          <w:rFonts w:hAnsi="Times New Roman" w:cs="Times New Roman"/>
        </w:rPr>
        <w:t xml:space="preserve"> We consider that th</w:t>
      </w:r>
      <w:r w:rsidR="00CF0FF2">
        <w:rPr>
          <w:rFonts w:hAnsi="Times New Roman" w:cs="Times New Roman"/>
        </w:rPr>
        <w:t xml:space="preserve">e </w:t>
      </w:r>
      <w:r>
        <w:rPr>
          <w:rFonts w:hAnsi="Times New Roman" w:cs="Times New Roman"/>
        </w:rPr>
        <w:t>iconic</w:t>
      </w:r>
      <w:r w:rsidR="00BD3F52">
        <w:rPr>
          <w:rFonts w:hAnsi="Times New Roman" w:cs="Times New Roman"/>
        </w:rPr>
        <w:t>,</w:t>
      </w:r>
      <w:r>
        <w:rPr>
          <w:rFonts w:hAnsi="Times New Roman" w:cs="Times New Roman"/>
        </w:rPr>
        <w:t xml:space="preserve"> landmark </w:t>
      </w:r>
      <w:r w:rsidR="00C74B5D">
        <w:rPr>
          <w:rFonts w:hAnsi="Times New Roman" w:cs="Times New Roman"/>
        </w:rPr>
        <w:t xml:space="preserve">social and aesthetic </w:t>
      </w:r>
      <w:r>
        <w:rPr>
          <w:rFonts w:hAnsi="Times New Roman" w:cs="Times New Roman"/>
        </w:rPr>
        <w:t>value</w:t>
      </w:r>
      <w:r w:rsidR="00BD3F52">
        <w:rPr>
          <w:rFonts w:hAnsi="Times New Roman" w:cs="Times New Roman"/>
        </w:rPr>
        <w:t>s</w:t>
      </w:r>
      <w:r w:rsidR="00CF0FF2">
        <w:rPr>
          <w:rFonts w:hAnsi="Times New Roman" w:cs="Times New Roman"/>
        </w:rPr>
        <w:t xml:space="preserve"> of the </w:t>
      </w:r>
      <w:r w:rsidR="008B4006">
        <w:rPr>
          <w:rFonts w:hAnsi="Times New Roman" w:cs="Times New Roman"/>
        </w:rPr>
        <w:t>Place</w:t>
      </w:r>
      <w:r w:rsidR="00CF0FF2">
        <w:rPr>
          <w:rFonts w:hAnsi="Times New Roman" w:cs="Times New Roman"/>
        </w:rPr>
        <w:t xml:space="preserve"> and its industrial aesthetic would be adversely affected</w:t>
      </w:r>
      <w:r w:rsidR="00B85361">
        <w:rPr>
          <w:rFonts w:hAnsi="Times New Roman" w:cs="Times New Roman"/>
        </w:rPr>
        <w:t xml:space="preserve"> by the proposed works</w:t>
      </w:r>
      <w:r w:rsidR="00484FC4" w:rsidRPr="00361713">
        <w:rPr>
          <w:rFonts w:hAnsi="Times New Roman" w:cs="Times New Roman"/>
        </w:rPr>
        <w:t>.</w:t>
      </w:r>
    </w:p>
    <w:p w14:paraId="06C2317C" w14:textId="77777777" w:rsidR="00BD1BAA" w:rsidRDefault="008F3F92"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T</w:t>
      </w:r>
      <w:r w:rsidR="0054007A" w:rsidRPr="00361713">
        <w:rPr>
          <w:rFonts w:hAnsi="Times New Roman" w:cs="Times New Roman"/>
        </w:rPr>
        <w:t>he Committee appr</w:t>
      </w:r>
      <w:r w:rsidR="00B77B3E" w:rsidRPr="00361713">
        <w:rPr>
          <w:rFonts w:hAnsi="Times New Roman" w:cs="Times New Roman"/>
        </w:rPr>
        <w:t xml:space="preserve">eciates </w:t>
      </w:r>
      <w:r w:rsidR="00CF0FF2">
        <w:rPr>
          <w:rFonts w:hAnsi="Times New Roman" w:cs="Times New Roman"/>
        </w:rPr>
        <w:t>that</w:t>
      </w:r>
      <w:r w:rsidR="00B77B3E" w:rsidRPr="00361713">
        <w:rPr>
          <w:rFonts w:hAnsi="Times New Roman" w:cs="Times New Roman"/>
        </w:rPr>
        <w:t xml:space="preserve"> </w:t>
      </w:r>
      <w:r w:rsidR="00DE5DE4" w:rsidRPr="00361713">
        <w:rPr>
          <w:rFonts w:hAnsi="Times New Roman" w:cs="Times New Roman"/>
        </w:rPr>
        <w:t>this l</w:t>
      </w:r>
      <w:r w:rsidR="009F10D3">
        <w:rPr>
          <w:rFonts w:hAnsi="Times New Roman" w:cs="Times New Roman"/>
        </w:rPr>
        <w:t>arge site</w:t>
      </w:r>
      <w:r w:rsidR="00B77B3E" w:rsidRPr="00361713">
        <w:rPr>
          <w:rFonts w:hAnsi="Times New Roman" w:cs="Times New Roman"/>
        </w:rPr>
        <w:t xml:space="preserve"> </w:t>
      </w:r>
      <w:r w:rsidR="00DE5DE4" w:rsidRPr="00361713">
        <w:rPr>
          <w:rFonts w:hAnsi="Times New Roman" w:cs="Times New Roman"/>
        </w:rPr>
        <w:t xml:space="preserve">overlooking the Yarra River </w:t>
      </w:r>
      <w:r w:rsidRPr="00361713">
        <w:rPr>
          <w:rFonts w:hAnsi="Times New Roman" w:cs="Times New Roman"/>
        </w:rPr>
        <w:t xml:space="preserve">to the south </w:t>
      </w:r>
      <w:r w:rsidR="00DE5DE4" w:rsidRPr="00361713">
        <w:rPr>
          <w:rFonts w:hAnsi="Times New Roman" w:cs="Times New Roman"/>
        </w:rPr>
        <w:t>and with city views to the north</w:t>
      </w:r>
      <w:r w:rsidR="00CF0FF2">
        <w:rPr>
          <w:rFonts w:hAnsi="Times New Roman" w:cs="Times New Roman"/>
        </w:rPr>
        <w:t xml:space="preserve">, is an attractive one for </w:t>
      </w:r>
      <w:r w:rsidR="00CF0FF2" w:rsidRPr="00361713">
        <w:rPr>
          <w:rFonts w:hAnsi="Times New Roman" w:cs="Times New Roman"/>
        </w:rPr>
        <w:t>residential development</w:t>
      </w:r>
      <w:r w:rsidR="00CF0FF2">
        <w:rPr>
          <w:rFonts w:hAnsi="Times New Roman" w:cs="Times New Roman"/>
        </w:rPr>
        <w:t>.</w:t>
      </w:r>
      <w:r w:rsidR="00587C27">
        <w:rPr>
          <w:rFonts w:hAnsi="Times New Roman" w:cs="Times New Roman"/>
        </w:rPr>
        <w:t xml:space="preserve"> </w:t>
      </w:r>
      <w:r w:rsidR="00E53AD8">
        <w:rPr>
          <w:rFonts w:hAnsi="Times New Roman" w:cs="Times New Roman"/>
        </w:rPr>
        <w:t xml:space="preserve">The proposal to develop the </w:t>
      </w:r>
      <w:r w:rsidR="005E7247">
        <w:rPr>
          <w:rFonts w:hAnsi="Times New Roman" w:cs="Times New Roman"/>
        </w:rPr>
        <w:t>Plac</w:t>
      </w:r>
      <w:r w:rsidR="00E53AD8">
        <w:rPr>
          <w:rFonts w:hAnsi="Times New Roman" w:cs="Times New Roman"/>
        </w:rPr>
        <w:t xml:space="preserve">e with a </w:t>
      </w:r>
      <w:r w:rsidR="00736C70">
        <w:rPr>
          <w:rFonts w:hAnsi="Times New Roman" w:cs="Times New Roman"/>
        </w:rPr>
        <w:t xml:space="preserve">multi-level </w:t>
      </w:r>
      <w:r w:rsidR="00587C27">
        <w:rPr>
          <w:rFonts w:hAnsi="Times New Roman" w:cs="Times New Roman"/>
        </w:rPr>
        <w:t xml:space="preserve">building </w:t>
      </w:r>
      <w:r w:rsidR="005E7247">
        <w:rPr>
          <w:rFonts w:hAnsi="Times New Roman" w:cs="Times New Roman"/>
        </w:rPr>
        <w:t>at its</w:t>
      </w:r>
      <w:r w:rsidR="00E53AD8">
        <w:rPr>
          <w:rFonts w:hAnsi="Times New Roman" w:cs="Times New Roman"/>
        </w:rPr>
        <w:t xml:space="preserve"> southern </w:t>
      </w:r>
      <w:r w:rsidR="005E7247">
        <w:rPr>
          <w:rFonts w:hAnsi="Times New Roman" w:cs="Times New Roman"/>
        </w:rPr>
        <w:t>end</w:t>
      </w:r>
      <w:r w:rsidR="00E53AD8">
        <w:rPr>
          <w:rFonts w:hAnsi="Times New Roman" w:cs="Times New Roman"/>
        </w:rPr>
        <w:t xml:space="preserve"> </w:t>
      </w:r>
      <w:r w:rsidR="00587C27">
        <w:rPr>
          <w:rFonts w:hAnsi="Times New Roman" w:cs="Times New Roman"/>
        </w:rPr>
        <w:t xml:space="preserve">with </w:t>
      </w:r>
      <w:r w:rsidR="00E53AD8">
        <w:rPr>
          <w:rFonts w:hAnsi="Times New Roman" w:cs="Times New Roman"/>
        </w:rPr>
        <w:t xml:space="preserve">a </w:t>
      </w:r>
      <w:r w:rsidR="00587C27">
        <w:rPr>
          <w:rFonts w:hAnsi="Times New Roman" w:cs="Times New Roman"/>
        </w:rPr>
        <w:t>long east-west ax</w:t>
      </w:r>
      <w:r w:rsidR="00E53AD8">
        <w:rPr>
          <w:rFonts w:hAnsi="Times New Roman" w:cs="Times New Roman"/>
        </w:rPr>
        <w:t>i</w:t>
      </w:r>
      <w:r w:rsidR="00587C27">
        <w:rPr>
          <w:rFonts w:hAnsi="Times New Roman" w:cs="Times New Roman"/>
        </w:rPr>
        <w:t>s</w:t>
      </w:r>
      <w:r w:rsidR="00E53AD8">
        <w:rPr>
          <w:rFonts w:hAnsi="Times New Roman" w:cs="Times New Roman"/>
        </w:rPr>
        <w:t xml:space="preserve"> is responsive to the availability of these views</w:t>
      </w:r>
      <w:r w:rsidR="005E7247">
        <w:rPr>
          <w:rFonts w:hAnsi="Times New Roman" w:cs="Times New Roman"/>
        </w:rPr>
        <w:t xml:space="preserve"> out of the Place</w:t>
      </w:r>
      <w:r w:rsidR="00E53AD8">
        <w:rPr>
          <w:rFonts w:hAnsi="Times New Roman" w:cs="Times New Roman"/>
        </w:rPr>
        <w:t>.</w:t>
      </w:r>
      <w:r w:rsidR="00587C27">
        <w:rPr>
          <w:rFonts w:hAnsi="Times New Roman" w:cs="Times New Roman"/>
        </w:rPr>
        <w:t xml:space="preserve"> </w:t>
      </w:r>
      <w:r w:rsidR="001803A4">
        <w:rPr>
          <w:rFonts w:hAnsi="Times New Roman" w:cs="Times New Roman"/>
        </w:rPr>
        <w:t xml:space="preserve">The proposed works in this sense could be viewed as site-responsive. The Committee, however, does not consider the proposed works to be site-responsive in terms of the </w:t>
      </w:r>
      <w:r w:rsidR="00E53AD8">
        <w:rPr>
          <w:rFonts w:hAnsi="Times New Roman" w:cs="Times New Roman"/>
        </w:rPr>
        <w:t xml:space="preserve">heritage values of the </w:t>
      </w:r>
      <w:r w:rsidR="00394EC1">
        <w:rPr>
          <w:rFonts w:hAnsi="Times New Roman" w:cs="Times New Roman"/>
        </w:rPr>
        <w:t>Place</w:t>
      </w:r>
      <w:r w:rsidR="00E53AD8">
        <w:rPr>
          <w:rFonts w:hAnsi="Times New Roman" w:cs="Times New Roman"/>
        </w:rPr>
        <w:t xml:space="preserve"> and </w:t>
      </w:r>
      <w:r w:rsidR="00394EC1">
        <w:rPr>
          <w:rFonts w:hAnsi="Times New Roman" w:cs="Times New Roman"/>
        </w:rPr>
        <w:t xml:space="preserve">is of the view that </w:t>
      </w:r>
      <w:r w:rsidR="005E7247">
        <w:rPr>
          <w:rFonts w:hAnsi="Times New Roman" w:cs="Times New Roman"/>
        </w:rPr>
        <w:t>the new works do</w:t>
      </w:r>
      <w:r w:rsidR="00E53AD8">
        <w:rPr>
          <w:rFonts w:hAnsi="Times New Roman" w:cs="Times New Roman"/>
        </w:rPr>
        <w:t xml:space="preserve"> not respond appropriately to the views </w:t>
      </w:r>
      <w:r w:rsidR="005E7247">
        <w:rPr>
          <w:rFonts w:hAnsi="Times New Roman" w:cs="Times New Roman"/>
        </w:rPr>
        <w:t>in</w:t>
      </w:r>
      <w:r w:rsidR="00E53AD8" w:rsidRPr="00D23ACC">
        <w:rPr>
          <w:rFonts w:hAnsi="Times New Roman" w:cs="Times New Roman"/>
        </w:rPr>
        <w:t>to</w:t>
      </w:r>
      <w:r w:rsidR="00717CC7">
        <w:rPr>
          <w:rFonts w:hAnsi="Times New Roman" w:cs="Times New Roman"/>
        </w:rPr>
        <w:t xml:space="preserve"> and within</w:t>
      </w:r>
      <w:r w:rsidR="00E53AD8">
        <w:rPr>
          <w:rFonts w:hAnsi="Times New Roman" w:cs="Times New Roman"/>
        </w:rPr>
        <w:t xml:space="preserve"> the </w:t>
      </w:r>
      <w:r w:rsidR="00394EC1">
        <w:rPr>
          <w:rFonts w:hAnsi="Times New Roman" w:cs="Times New Roman"/>
        </w:rPr>
        <w:t>Place</w:t>
      </w:r>
      <w:r w:rsidR="00E53AD8">
        <w:rPr>
          <w:rFonts w:hAnsi="Times New Roman" w:cs="Times New Roman"/>
        </w:rPr>
        <w:t xml:space="preserve"> and would affect the aesthetic significance of the Place.</w:t>
      </w:r>
      <w:r w:rsidR="001803A4">
        <w:rPr>
          <w:rFonts w:hAnsi="Times New Roman" w:cs="Times New Roman"/>
        </w:rPr>
        <w:t xml:space="preserve"> </w:t>
      </w:r>
    </w:p>
    <w:p w14:paraId="62F119DE" w14:textId="77777777" w:rsidR="007C4021" w:rsidRDefault="00BD1BAA" w:rsidP="001971C2">
      <w:pPr>
        <w:pStyle w:val="Para1"/>
        <w:numPr>
          <w:ilvl w:val="0"/>
          <w:numId w:val="8"/>
        </w:numPr>
        <w:spacing w:line="240" w:lineRule="auto"/>
        <w:ind w:left="567" w:hanging="567"/>
        <w:rPr>
          <w:rFonts w:hAnsi="Times New Roman" w:cs="Times New Roman"/>
        </w:rPr>
      </w:pPr>
      <w:r>
        <w:rPr>
          <w:rFonts w:hAnsi="Times New Roman" w:cs="Times New Roman"/>
        </w:rPr>
        <w:t>T</w:t>
      </w:r>
      <w:r w:rsidR="0021793A" w:rsidRPr="00361713">
        <w:rPr>
          <w:rFonts w:hAnsi="Times New Roman" w:cs="Times New Roman"/>
        </w:rPr>
        <w:t xml:space="preserve">he </w:t>
      </w:r>
      <w:r w:rsidR="00034F59" w:rsidRPr="00361713">
        <w:rPr>
          <w:rFonts w:hAnsi="Times New Roman" w:cs="Times New Roman"/>
        </w:rPr>
        <w:t xml:space="preserve">location of the </w:t>
      </w:r>
      <w:r w:rsidR="00A11CAE" w:rsidRPr="00361713">
        <w:rPr>
          <w:rFonts w:hAnsi="Times New Roman" w:cs="Times New Roman"/>
        </w:rPr>
        <w:t xml:space="preserve">Place alongside the </w:t>
      </w:r>
      <w:r w:rsidR="00DE5DE4" w:rsidRPr="00361713">
        <w:rPr>
          <w:rFonts w:hAnsi="Times New Roman" w:cs="Times New Roman"/>
        </w:rPr>
        <w:t xml:space="preserve">river </w:t>
      </w:r>
      <w:r w:rsidR="0021793A" w:rsidRPr="00361713">
        <w:rPr>
          <w:rFonts w:hAnsi="Times New Roman" w:cs="Times New Roman"/>
        </w:rPr>
        <w:t xml:space="preserve">and </w:t>
      </w:r>
      <w:r w:rsidR="007C4021">
        <w:rPr>
          <w:rFonts w:hAnsi="Times New Roman" w:cs="Times New Roman"/>
        </w:rPr>
        <w:t>its proximity</w:t>
      </w:r>
      <w:r w:rsidR="0021793A" w:rsidRPr="00361713">
        <w:rPr>
          <w:rFonts w:hAnsi="Times New Roman" w:cs="Times New Roman"/>
        </w:rPr>
        <w:t xml:space="preserve"> to </w:t>
      </w:r>
      <w:r w:rsidR="00DE5DE4" w:rsidRPr="00361713">
        <w:rPr>
          <w:rFonts w:hAnsi="Times New Roman" w:cs="Times New Roman"/>
        </w:rPr>
        <w:t>the intersection of major r</w:t>
      </w:r>
      <w:r w:rsidR="008F3F92" w:rsidRPr="00361713">
        <w:rPr>
          <w:rFonts w:hAnsi="Times New Roman" w:cs="Times New Roman"/>
        </w:rPr>
        <w:t>oa</w:t>
      </w:r>
      <w:r w:rsidR="00DE5DE4" w:rsidRPr="00361713">
        <w:rPr>
          <w:rFonts w:hAnsi="Times New Roman" w:cs="Times New Roman"/>
        </w:rPr>
        <w:t>dways and open space areas</w:t>
      </w:r>
      <w:r w:rsidR="00034F59" w:rsidRPr="00361713">
        <w:rPr>
          <w:rFonts w:hAnsi="Times New Roman" w:cs="Times New Roman"/>
        </w:rPr>
        <w:t xml:space="preserve"> has the consequence</w:t>
      </w:r>
      <w:r w:rsidR="00775973" w:rsidRPr="00361713">
        <w:rPr>
          <w:rFonts w:hAnsi="Times New Roman" w:cs="Times New Roman"/>
        </w:rPr>
        <w:t xml:space="preserve"> </w:t>
      </w:r>
      <w:r w:rsidR="005F147E">
        <w:rPr>
          <w:rFonts w:hAnsi="Times New Roman" w:cs="Times New Roman"/>
        </w:rPr>
        <w:t xml:space="preserve">that it </w:t>
      </w:r>
      <w:r w:rsidR="00775973" w:rsidRPr="00361713">
        <w:rPr>
          <w:rFonts w:hAnsi="Times New Roman" w:cs="Times New Roman"/>
        </w:rPr>
        <w:t>is in a relatively open area</w:t>
      </w:r>
      <w:r w:rsidR="00587C27">
        <w:rPr>
          <w:rFonts w:hAnsi="Times New Roman" w:cs="Times New Roman"/>
        </w:rPr>
        <w:t xml:space="preserve">. </w:t>
      </w:r>
      <w:r w:rsidR="00736C70">
        <w:rPr>
          <w:rFonts w:hAnsi="Times New Roman" w:cs="Times New Roman"/>
        </w:rPr>
        <w:t xml:space="preserve">The </w:t>
      </w:r>
      <w:r w:rsidR="008B4006">
        <w:rPr>
          <w:rFonts w:hAnsi="Times New Roman" w:cs="Times New Roman"/>
        </w:rPr>
        <w:t>Place</w:t>
      </w:r>
      <w:r w:rsidR="00736C70">
        <w:rPr>
          <w:rFonts w:hAnsi="Times New Roman" w:cs="Times New Roman"/>
        </w:rPr>
        <w:t xml:space="preserve"> is really only built around to the north and east. </w:t>
      </w:r>
      <w:r w:rsidR="00587C27">
        <w:rPr>
          <w:rFonts w:hAnsi="Times New Roman" w:cs="Times New Roman"/>
        </w:rPr>
        <w:t>T</w:t>
      </w:r>
      <w:r w:rsidR="00DE5DE4" w:rsidRPr="00361713">
        <w:rPr>
          <w:rFonts w:hAnsi="Times New Roman" w:cs="Times New Roman"/>
        </w:rPr>
        <w:t>h</w:t>
      </w:r>
      <w:r w:rsidR="00736C70">
        <w:rPr>
          <w:rFonts w:hAnsi="Times New Roman" w:cs="Times New Roman"/>
        </w:rPr>
        <w:t>is</w:t>
      </w:r>
      <w:r w:rsidR="00587C27">
        <w:rPr>
          <w:rFonts w:hAnsi="Times New Roman" w:cs="Times New Roman"/>
        </w:rPr>
        <w:t xml:space="preserve"> openness </w:t>
      </w:r>
      <w:r w:rsidR="005F147E">
        <w:rPr>
          <w:rFonts w:hAnsi="Times New Roman" w:cs="Times New Roman"/>
        </w:rPr>
        <w:t xml:space="preserve">of the </w:t>
      </w:r>
      <w:r w:rsidR="00587C27">
        <w:rPr>
          <w:rFonts w:hAnsi="Times New Roman" w:cs="Times New Roman"/>
        </w:rPr>
        <w:t xml:space="preserve">surrounds </w:t>
      </w:r>
      <w:r w:rsidR="005F147E">
        <w:rPr>
          <w:rFonts w:hAnsi="Times New Roman" w:cs="Times New Roman"/>
        </w:rPr>
        <w:t xml:space="preserve">of the Place </w:t>
      </w:r>
      <w:r w:rsidR="00DE5DE4" w:rsidRPr="00361713">
        <w:rPr>
          <w:rFonts w:hAnsi="Times New Roman" w:cs="Times New Roman"/>
        </w:rPr>
        <w:t xml:space="preserve">affords </w:t>
      </w:r>
      <w:r>
        <w:rPr>
          <w:rFonts w:hAnsi="Times New Roman" w:cs="Times New Roman"/>
        </w:rPr>
        <w:t>the site a particular</w:t>
      </w:r>
      <w:r w:rsidR="00DE5DE4" w:rsidRPr="00361713">
        <w:rPr>
          <w:rFonts w:hAnsi="Times New Roman" w:cs="Times New Roman"/>
        </w:rPr>
        <w:t xml:space="preserve"> </w:t>
      </w:r>
      <w:r w:rsidR="007C4021">
        <w:rPr>
          <w:rFonts w:hAnsi="Times New Roman" w:cs="Times New Roman"/>
        </w:rPr>
        <w:t xml:space="preserve">visual </w:t>
      </w:r>
      <w:r w:rsidR="0021793A" w:rsidRPr="00361713">
        <w:rPr>
          <w:rFonts w:hAnsi="Times New Roman" w:cs="Times New Roman"/>
        </w:rPr>
        <w:t>prominence</w:t>
      </w:r>
      <w:r w:rsidR="00775973" w:rsidRPr="00361713">
        <w:rPr>
          <w:rFonts w:hAnsi="Times New Roman" w:cs="Times New Roman"/>
        </w:rPr>
        <w:t xml:space="preserve"> especially when viewed from </w:t>
      </w:r>
      <w:r>
        <w:rPr>
          <w:rFonts w:hAnsi="Times New Roman" w:cs="Times New Roman"/>
        </w:rPr>
        <w:t xml:space="preserve">mid-range points to </w:t>
      </w:r>
      <w:r w:rsidR="00775973" w:rsidRPr="00361713">
        <w:rPr>
          <w:rFonts w:hAnsi="Times New Roman" w:cs="Times New Roman"/>
        </w:rPr>
        <w:t>the</w:t>
      </w:r>
      <w:r w:rsidR="00587C27">
        <w:rPr>
          <w:rFonts w:hAnsi="Times New Roman" w:cs="Times New Roman"/>
        </w:rPr>
        <w:t xml:space="preserve"> west,</w:t>
      </w:r>
      <w:r w:rsidR="00775973" w:rsidRPr="00361713">
        <w:rPr>
          <w:rFonts w:hAnsi="Times New Roman" w:cs="Times New Roman"/>
        </w:rPr>
        <w:t xml:space="preserve"> south and south</w:t>
      </w:r>
      <w:r w:rsidR="00587C27">
        <w:rPr>
          <w:rFonts w:hAnsi="Times New Roman" w:cs="Times New Roman"/>
        </w:rPr>
        <w:t>-</w:t>
      </w:r>
      <w:r w:rsidR="00775973" w:rsidRPr="00361713">
        <w:rPr>
          <w:rFonts w:hAnsi="Times New Roman" w:cs="Times New Roman"/>
        </w:rPr>
        <w:t>east.</w:t>
      </w:r>
      <w:r w:rsidR="00484FC4" w:rsidRPr="00361713">
        <w:rPr>
          <w:rFonts w:hAnsi="Times New Roman" w:cs="Times New Roman"/>
        </w:rPr>
        <w:t xml:space="preserve"> </w:t>
      </w:r>
      <w:r w:rsidR="005F147E">
        <w:rPr>
          <w:rFonts w:hAnsi="Times New Roman" w:cs="Times New Roman"/>
        </w:rPr>
        <w:t>The</w:t>
      </w:r>
      <w:r w:rsidR="007C4021">
        <w:rPr>
          <w:rFonts w:hAnsi="Times New Roman" w:cs="Times New Roman"/>
        </w:rPr>
        <w:t>se site characteristics</w:t>
      </w:r>
      <w:r w:rsidR="005F147E">
        <w:rPr>
          <w:rFonts w:hAnsi="Times New Roman" w:cs="Times New Roman"/>
        </w:rPr>
        <w:t xml:space="preserve"> make the </w:t>
      </w:r>
      <w:r w:rsidR="007C4021">
        <w:rPr>
          <w:rFonts w:hAnsi="Times New Roman" w:cs="Times New Roman"/>
        </w:rPr>
        <w:t xml:space="preserve">placement </w:t>
      </w:r>
      <w:r w:rsidR="005F147E">
        <w:rPr>
          <w:rFonts w:hAnsi="Times New Roman" w:cs="Times New Roman"/>
        </w:rPr>
        <w:t>and design of large</w:t>
      </w:r>
      <w:r w:rsidR="00881804">
        <w:rPr>
          <w:rFonts w:hAnsi="Times New Roman" w:cs="Times New Roman"/>
        </w:rPr>
        <w:t xml:space="preserve"> new</w:t>
      </w:r>
      <w:r w:rsidR="005F147E">
        <w:rPr>
          <w:rFonts w:hAnsi="Times New Roman" w:cs="Times New Roman"/>
        </w:rPr>
        <w:t xml:space="preserve"> buildings generally difficult. </w:t>
      </w:r>
    </w:p>
    <w:p w14:paraId="567A3FD9" w14:textId="77777777" w:rsidR="00BD1BAA" w:rsidRDefault="00201941" w:rsidP="001971C2">
      <w:pPr>
        <w:pStyle w:val="Para1"/>
        <w:numPr>
          <w:ilvl w:val="0"/>
          <w:numId w:val="8"/>
        </w:numPr>
        <w:spacing w:line="240" w:lineRule="auto"/>
        <w:ind w:left="567" w:hanging="567"/>
        <w:rPr>
          <w:rFonts w:hAnsi="Times New Roman" w:cs="Times New Roman"/>
        </w:rPr>
      </w:pPr>
      <w:r>
        <w:rPr>
          <w:rFonts w:hAnsi="Times New Roman" w:cs="Times New Roman"/>
        </w:rPr>
        <w:t xml:space="preserve">This </w:t>
      </w:r>
      <w:r w:rsidR="00443B7C">
        <w:rPr>
          <w:rFonts w:hAnsi="Times New Roman" w:cs="Times New Roman"/>
        </w:rPr>
        <w:t xml:space="preserve">difficulty is compounded by the </w:t>
      </w:r>
      <w:r w:rsidR="00587C27">
        <w:rPr>
          <w:rFonts w:hAnsi="Times New Roman" w:cs="Times New Roman"/>
        </w:rPr>
        <w:t xml:space="preserve">prominence or </w:t>
      </w:r>
      <w:r w:rsidR="00484FC4" w:rsidRPr="00361713">
        <w:rPr>
          <w:rFonts w:hAnsi="Times New Roman" w:cs="Times New Roman"/>
        </w:rPr>
        <w:t>landmark quality</w:t>
      </w:r>
      <w:r w:rsidR="00AB737E" w:rsidRPr="00361713">
        <w:rPr>
          <w:rFonts w:hAnsi="Times New Roman" w:cs="Times New Roman"/>
        </w:rPr>
        <w:t xml:space="preserve"> </w:t>
      </w:r>
      <w:r w:rsidR="00443B7C">
        <w:rPr>
          <w:rFonts w:hAnsi="Times New Roman" w:cs="Times New Roman"/>
        </w:rPr>
        <w:t>of the Place being recognised as</w:t>
      </w:r>
      <w:r w:rsidR="00484FC4" w:rsidRPr="00361713">
        <w:rPr>
          <w:rFonts w:hAnsi="Times New Roman" w:cs="Times New Roman"/>
        </w:rPr>
        <w:t xml:space="preserve"> an element of </w:t>
      </w:r>
      <w:r w:rsidR="00443B7C">
        <w:rPr>
          <w:rFonts w:hAnsi="Times New Roman" w:cs="Times New Roman"/>
        </w:rPr>
        <w:t>its</w:t>
      </w:r>
      <w:r w:rsidR="0021793A" w:rsidRPr="00361713">
        <w:rPr>
          <w:rFonts w:hAnsi="Times New Roman" w:cs="Times New Roman"/>
        </w:rPr>
        <w:t xml:space="preserve"> </w:t>
      </w:r>
      <w:r w:rsidR="00736C70">
        <w:rPr>
          <w:rFonts w:hAnsi="Times New Roman" w:cs="Times New Roman"/>
        </w:rPr>
        <w:t>aesthetic</w:t>
      </w:r>
      <w:r w:rsidR="00736C70" w:rsidRPr="00361713">
        <w:rPr>
          <w:rFonts w:hAnsi="Times New Roman" w:cs="Times New Roman"/>
        </w:rPr>
        <w:t xml:space="preserve"> </w:t>
      </w:r>
      <w:r w:rsidR="0021793A" w:rsidRPr="00361713">
        <w:rPr>
          <w:rFonts w:hAnsi="Times New Roman" w:cs="Times New Roman"/>
        </w:rPr>
        <w:t>significance</w:t>
      </w:r>
      <w:r w:rsidR="00443B7C">
        <w:rPr>
          <w:rFonts w:hAnsi="Times New Roman" w:cs="Times New Roman"/>
        </w:rPr>
        <w:t>. The silos make</w:t>
      </w:r>
      <w:r w:rsidR="00BD1BAA">
        <w:rPr>
          <w:rFonts w:hAnsi="Times New Roman" w:cs="Times New Roman"/>
        </w:rPr>
        <w:t xml:space="preserve"> a major, though not the sole, contribution</w:t>
      </w:r>
      <w:r w:rsidR="00736C70">
        <w:rPr>
          <w:rFonts w:hAnsi="Times New Roman" w:cs="Times New Roman"/>
        </w:rPr>
        <w:t xml:space="preserve"> </w:t>
      </w:r>
      <w:r w:rsidR="00BD1BAA">
        <w:rPr>
          <w:rFonts w:hAnsi="Times New Roman" w:cs="Times New Roman"/>
        </w:rPr>
        <w:t xml:space="preserve">to this. As noted in the statement of significance for the Place, the 1960s silos have become a significant cultural iconic feature in the Melbourne landscape and psyche. </w:t>
      </w:r>
      <w:r w:rsidR="00D93FF1" w:rsidRPr="00361713">
        <w:rPr>
          <w:rFonts w:hAnsi="Times New Roman" w:cs="Times New Roman"/>
        </w:rPr>
        <w:t xml:space="preserve"> </w:t>
      </w:r>
      <w:r w:rsidR="00BD1BAA">
        <w:rPr>
          <w:rFonts w:hAnsi="Times New Roman" w:cs="Times New Roman"/>
        </w:rPr>
        <w:t xml:space="preserve">The Place has been ascribed social significance on this basis. </w:t>
      </w:r>
    </w:p>
    <w:p w14:paraId="2AF05EBF" w14:textId="77777777" w:rsidR="00361713" w:rsidRDefault="00110311"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Contrary to the emphasis of the Appellant on the significance of </w:t>
      </w:r>
      <w:r w:rsidR="00DE5DE4" w:rsidRPr="00361713">
        <w:rPr>
          <w:rFonts w:hAnsi="Times New Roman" w:cs="Times New Roman"/>
        </w:rPr>
        <w:t xml:space="preserve">only </w:t>
      </w:r>
      <w:r w:rsidRPr="00361713">
        <w:rPr>
          <w:rFonts w:hAnsi="Times New Roman" w:cs="Times New Roman"/>
        </w:rPr>
        <w:t>certain views to the</w:t>
      </w:r>
      <w:r w:rsidR="00AB16C3">
        <w:rPr>
          <w:rFonts w:hAnsi="Times New Roman" w:cs="Times New Roman"/>
        </w:rPr>
        <w:t xml:space="preserve"> Place from the</w:t>
      </w:r>
      <w:r w:rsidRPr="00361713">
        <w:rPr>
          <w:rFonts w:hAnsi="Times New Roman" w:cs="Times New Roman"/>
        </w:rPr>
        <w:t xml:space="preserve"> west and </w:t>
      </w:r>
      <w:r w:rsidR="00AB16C3">
        <w:rPr>
          <w:rFonts w:hAnsi="Times New Roman" w:cs="Times New Roman"/>
        </w:rPr>
        <w:t>north-west</w:t>
      </w:r>
      <w:r w:rsidR="00AB16C3" w:rsidRPr="00361713">
        <w:rPr>
          <w:rFonts w:hAnsi="Times New Roman" w:cs="Times New Roman"/>
        </w:rPr>
        <w:t xml:space="preserve"> </w:t>
      </w:r>
      <w:r w:rsidRPr="00361713">
        <w:rPr>
          <w:rFonts w:hAnsi="Times New Roman" w:cs="Times New Roman"/>
        </w:rPr>
        <w:t>of the Place, t</w:t>
      </w:r>
      <w:r w:rsidR="00D93FF1" w:rsidRPr="00361713">
        <w:rPr>
          <w:rFonts w:hAnsi="Times New Roman" w:cs="Times New Roman"/>
        </w:rPr>
        <w:t xml:space="preserve">he Committee </w:t>
      </w:r>
      <w:r w:rsidR="00DE5DE4" w:rsidRPr="00361713">
        <w:rPr>
          <w:rFonts w:hAnsi="Times New Roman" w:cs="Times New Roman"/>
        </w:rPr>
        <w:t>considers</w:t>
      </w:r>
      <w:r w:rsidR="00D93FF1" w:rsidRPr="00361713">
        <w:rPr>
          <w:rFonts w:hAnsi="Times New Roman" w:cs="Times New Roman"/>
        </w:rPr>
        <w:t xml:space="preserve"> that</w:t>
      </w:r>
      <w:r w:rsidR="00727EA1" w:rsidRPr="00361713">
        <w:rPr>
          <w:rFonts w:hAnsi="Times New Roman" w:cs="Times New Roman"/>
        </w:rPr>
        <w:t xml:space="preserve"> t</w:t>
      </w:r>
      <w:r w:rsidR="00D93FF1" w:rsidRPr="00361713">
        <w:rPr>
          <w:rFonts w:hAnsi="Times New Roman" w:cs="Times New Roman"/>
        </w:rPr>
        <w:t xml:space="preserve">he views to the Place from the south and the </w:t>
      </w:r>
      <w:r w:rsidR="003309F3" w:rsidRPr="00361713">
        <w:rPr>
          <w:rFonts w:hAnsi="Times New Roman" w:cs="Times New Roman"/>
        </w:rPr>
        <w:t>south</w:t>
      </w:r>
      <w:r w:rsidR="00736C70">
        <w:rPr>
          <w:rFonts w:hAnsi="Times New Roman" w:cs="Times New Roman"/>
        </w:rPr>
        <w:t>-</w:t>
      </w:r>
      <w:r w:rsidR="003309F3" w:rsidRPr="00361713">
        <w:rPr>
          <w:rFonts w:hAnsi="Times New Roman" w:cs="Times New Roman"/>
        </w:rPr>
        <w:t>east</w:t>
      </w:r>
      <w:r w:rsidR="00D93FF1" w:rsidRPr="00361713">
        <w:rPr>
          <w:rFonts w:hAnsi="Times New Roman" w:cs="Times New Roman"/>
        </w:rPr>
        <w:t xml:space="preserve"> </w:t>
      </w:r>
      <w:r w:rsidR="002776A7" w:rsidRPr="00361713">
        <w:rPr>
          <w:rFonts w:hAnsi="Times New Roman" w:cs="Times New Roman"/>
        </w:rPr>
        <w:t xml:space="preserve">are </w:t>
      </w:r>
      <w:r w:rsidR="00736C70">
        <w:rPr>
          <w:rFonts w:hAnsi="Times New Roman" w:cs="Times New Roman"/>
        </w:rPr>
        <w:t>especially</w:t>
      </w:r>
      <w:r w:rsidR="00736C70" w:rsidRPr="00361713">
        <w:rPr>
          <w:rFonts w:hAnsi="Times New Roman" w:cs="Times New Roman"/>
        </w:rPr>
        <w:t xml:space="preserve"> </w:t>
      </w:r>
      <w:r w:rsidR="002776A7" w:rsidRPr="00361713">
        <w:rPr>
          <w:rFonts w:hAnsi="Times New Roman" w:cs="Times New Roman"/>
        </w:rPr>
        <w:t>significant</w:t>
      </w:r>
      <w:r w:rsidR="002305EC" w:rsidRPr="00361713">
        <w:rPr>
          <w:rFonts w:hAnsi="Times New Roman" w:cs="Times New Roman"/>
        </w:rPr>
        <w:t xml:space="preserve"> and are to be conside</w:t>
      </w:r>
      <w:r w:rsidR="0081773E" w:rsidRPr="00361713">
        <w:rPr>
          <w:rFonts w:hAnsi="Times New Roman" w:cs="Times New Roman"/>
        </w:rPr>
        <w:t>red in making its determination</w:t>
      </w:r>
      <w:r w:rsidR="003309F3" w:rsidRPr="00361713">
        <w:rPr>
          <w:rFonts w:hAnsi="Times New Roman" w:cs="Times New Roman"/>
        </w:rPr>
        <w:t>.</w:t>
      </w:r>
      <w:r w:rsidR="001E4A94" w:rsidRPr="00361713">
        <w:rPr>
          <w:rFonts w:hAnsi="Times New Roman" w:cs="Times New Roman"/>
        </w:rPr>
        <w:t xml:space="preserve"> </w:t>
      </w:r>
      <w:r w:rsidR="00DE5DE4" w:rsidRPr="00361713">
        <w:rPr>
          <w:rFonts w:hAnsi="Times New Roman" w:cs="Times New Roman"/>
        </w:rPr>
        <w:t>The</w:t>
      </w:r>
      <w:r w:rsidR="00727EA1" w:rsidRPr="00361713">
        <w:rPr>
          <w:rFonts w:hAnsi="Times New Roman" w:cs="Times New Roman"/>
        </w:rPr>
        <w:t>se broader views</w:t>
      </w:r>
      <w:r w:rsidR="00DE5DE4" w:rsidRPr="00361713">
        <w:rPr>
          <w:rFonts w:hAnsi="Times New Roman" w:cs="Times New Roman"/>
        </w:rPr>
        <w:t xml:space="preserve"> </w:t>
      </w:r>
      <w:r w:rsidR="00727EA1" w:rsidRPr="00361713">
        <w:rPr>
          <w:rFonts w:hAnsi="Times New Roman" w:cs="Times New Roman"/>
        </w:rPr>
        <w:t xml:space="preserve">across the river </w:t>
      </w:r>
      <w:r w:rsidR="00775973" w:rsidRPr="00361713">
        <w:rPr>
          <w:rFonts w:hAnsi="Times New Roman" w:cs="Times New Roman"/>
        </w:rPr>
        <w:t>are not ‘interrupted’ by vegetation in any significant way (as was claimed to the contrary by the Appellant’s witnesses)</w:t>
      </w:r>
      <w:r w:rsidR="00AB16C3">
        <w:rPr>
          <w:rFonts w:hAnsi="Times New Roman" w:cs="Times New Roman"/>
        </w:rPr>
        <w:t>, nor by the freeway infra</w:t>
      </w:r>
      <w:r w:rsidR="005762C7">
        <w:rPr>
          <w:rFonts w:hAnsi="Times New Roman" w:cs="Times New Roman"/>
        </w:rPr>
        <w:t>s</w:t>
      </w:r>
      <w:r w:rsidR="00AB16C3">
        <w:rPr>
          <w:rFonts w:hAnsi="Times New Roman" w:cs="Times New Roman"/>
        </w:rPr>
        <w:t>tructure</w:t>
      </w:r>
      <w:r w:rsidR="005762C7">
        <w:rPr>
          <w:rFonts w:hAnsi="Times New Roman" w:cs="Times New Roman"/>
        </w:rPr>
        <w:t>. The presence of the Place in views of the river and from South Yarra are mentioned in the Statement of Significance.</w:t>
      </w:r>
    </w:p>
    <w:p w14:paraId="626F82FA" w14:textId="0CC9FBA8" w:rsidR="00361713" w:rsidRDefault="00775973"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In these views, the </w:t>
      </w:r>
      <w:r w:rsidR="00B858C5" w:rsidRPr="00361713">
        <w:rPr>
          <w:rFonts w:hAnsi="Times New Roman" w:cs="Times New Roman"/>
        </w:rPr>
        <w:t xml:space="preserve">Committee considers that the </w:t>
      </w:r>
      <w:r w:rsidRPr="00361713">
        <w:rPr>
          <w:rFonts w:hAnsi="Times New Roman" w:cs="Times New Roman"/>
        </w:rPr>
        <w:t xml:space="preserve">extant heritage fabric would be dwarfed by the proposed new buildings and hence the </w:t>
      </w:r>
      <w:r w:rsidR="00443B7C">
        <w:rPr>
          <w:rFonts w:hAnsi="Times New Roman" w:cs="Times New Roman"/>
        </w:rPr>
        <w:t xml:space="preserve">landmark qualities and </w:t>
      </w:r>
      <w:r w:rsidR="00314538">
        <w:rPr>
          <w:rFonts w:hAnsi="Times New Roman" w:cs="Times New Roman"/>
        </w:rPr>
        <w:t xml:space="preserve">aesthetic </w:t>
      </w:r>
      <w:r w:rsidRPr="00361713">
        <w:rPr>
          <w:rFonts w:hAnsi="Times New Roman" w:cs="Times New Roman"/>
        </w:rPr>
        <w:t xml:space="preserve">significance of the Place would be </w:t>
      </w:r>
      <w:r w:rsidR="004F6B24">
        <w:rPr>
          <w:rFonts w:hAnsi="Times New Roman" w:cs="Times New Roman"/>
        </w:rPr>
        <w:t>adversely affecte</w:t>
      </w:r>
      <w:r w:rsidR="004F6B24" w:rsidRPr="00361713">
        <w:rPr>
          <w:rFonts w:hAnsi="Times New Roman" w:cs="Times New Roman"/>
        </w:rPr>
        <w:t>d</w:t>
      </w:r>
      <w:r w:rsidRPr="00361713">
        <w:rPr>
          <w:rFonts w:hAnsi="Times New Roman" w:cs="Times New Roman"/>
        </w:rPr>
        <w:t>.</w:t>
      </w:r>
      <w:r w:rsidRPr="00361713" w:rsidDel="00775973">
        <w:rPr>
          <w:rFonts w:hAnsi="Times New Roman" w:cs="Times New Roman"/>
        </w:rPr>
        <w:t xml:space="preserve"> </w:t>
      </w:r>
      <w:r w:rsidR="00B858C5" w:rsidRPr="00361713">
        <w:rPr>
          <w:rFonts w:hAnsi="Times New Roman" w:cs="Times New Roman"/>
        </w:rPr>
        <w:t xml:space="preserve">The proposed new </w:t>
      </w:r>
      <w:r w:rsidR="004F6B24" w:rsidRPr="00361713">
        <w:rPr>
          <w:rFonts w:hAnsi="Times New Roman" w:cs="Times New Roman"/>
        </w:rPr>
        <w:t>buildings</w:t>
      </w:r>
      <w:r w:rsidR="004F6B24">
        <w:rPr>
          <w:rFonts w:hAnsi="Times New Roman" w:cs="Times New Roman"/>
        </w:rPr>
        <w:t xml:space="preserve"> - </w:t>
      </w:r>
      <w:r w:rsidR="009D18A4">
        <w:rPr>
          <w:rFonts w:hAnsi="Times New Roman" w:cs="Times New Roman"/>
        </w:rPr>
        <w:t>in particular</w:t>
      </w:r>
      <w:r w:rsidR="009D18A4" w:rsidRPr="00361713">
        <w:rPr>
          <w:rFonts w:hAnsi="Times New Roman" w:cs="Times New Roman"/>
        </w:rPr>
        <w:t xml:space="preserve"> </w:t>
      </w:r>
      <w:r w:rsidR="00B858C5" w:rsidRPr="00361713">
        <w:rPr>
          <w:rFonts w:hAnsi="Times New Roman" w:cs="Times New Roman"/>
        </w:rPr>
        <w:t xml:space="preserve">the </w:t>
      </w:r>
      <w:r w:rsidR="00AB737E" w:rsidRPr="00361713">
        <w:rPr>
          <w:rFonts w:hAnsi="Times New Roman" w:cs="Times New Roman"/>
        </w:rPr>
        <w:t xml:space="preserve">new southern </w:t>
      </w:r>
      <w:r w:rsidR="00B858C5" w:rsidRPr="00361713">
        <w:rPr>
          <w:rFonts w:hAnsi="Times New Roman" w:cs="Times New Roman"/>
        </w:rPr>
        <w:t xml:space="preserve">building </w:t>
      </w:r>
      <w:r w:rsidR="00E631BA">
        <w:rPr>
          <w:rFonts w:hAnsi="Times New Roman" w:cs="Times New Roman"/>
        </w:rPr>
        <w:t>closest to</w:t>
      </w:r>
      <w:r w:rsidR="00B858C5" w:rsidRPr="00361713">
        <w:rPr>
          <w:rFonts w:hAnsi="Times New Roman" w:cs="Times New Roman"/>
        </w:rPr>
        <w:t xml:space="preserve"> the river </w:t>
      </w:r>
      <w:r w:rsidR="004F6B24">
        <w:rPr>
          <w:rFonts w:hAnsi="Times New Roman" w:cs="Times New Roman"/>
        </w:rPr>
        <w:t xml:space="preserve">- </w:t>
      </w:r>
      <w:r w:rsidR="00B858C5" w:rsidRPr="00361713">
        <w:rPr>
          <w:rFonts w:hAnsi="Times New Roman" w:cs="Times New Roman"/>
        </w:rPr>
        <w:t xml:space="preserve">would present as greatly over-scaled when compared to the silos – which are currently the largest and most prominent feature of the </w:t>
      </w:r>
      <w:r w:rsidR="008B4006">
        <w:rPr>
          <w:rFonts w:hAnsi="Times New Roman" w:cs="Times New Roman"/>
        </w:rPr>
        <w:t>Place</w:t>
      </w:r>
      <w:r w:rsidR="00B858C5" w:rsidRPr="00361713">
        <w:rPr>
          <w:rFonts w:hAnsi="Times New Roman" w:cs="Times New Roman"/>
        </w:rPr>
        <w:t xml:space="preserve"> – as well as other buildings on the Place. </w:t>
      </w:r>
      <w:r w:rsidR="004F6B24">
        <w:rPr>
          <w:rFonts w:hAnsi="Times New Roman" w:cs="Times New Roman"/>
        </w:rPr>
        <w:t xml:space="preserve">The adverse effect is not </w:t>
      </w:r>
      <w:r w:rsidR="00E06E79">
        <w:rPr>
          <w:rFonts w:hAnsi="Times New Roman" w:cs="Times New Roman"/>
        </w:rPr>
        <w:t xml:space="preserve">solely </w:t>
      </w:r>
      <w:r w:rsidR="004F6B24">
        <w:rPr>
          <w:rFonts w:hAnsi="Times New Roman" w:cs="Times New Roman"/>
        </w:rPr>
        <w:t>the result of the height of the new buildings but also the east-west extent of the southern building</w:t>
      </w:r>
      <w:r w:rsidR="001D194D">
        <w:rPr>
          <w:rFonts w:hAnsi="Times New Roman" w:cs="Times New Roman"/>
        </w:rPr>
        <w:t xml:space="preserve"> (being approximately 52</w:t>
      </w:r>
      <w:r w:rsidR="00E06E79">
        <w:rPr>
          <w:rFonts w:hAnsi="Times New Roman" w:cs="Times New Roman"/>
        </w:rPr>
        <w:t xml:space="preserve"> metres</w:t>
      </w:r>
      <w:r w:rsidR="001B7960">
        <w:rPr>
          <w:rFonts w:hAnsi="Times New Roman" w:cs="Times New Roman"/>
        </w:rPr>
        <w:t xml:space="preserve"> by scaling</w:t>
      </w:r>
      <w:r w:rsidR="00151835">
        <w:rPr>
          <w:rFonts w:hAnsi="Times New Roman" w:cs="Times New Roman"/>
        </w:rPr>
        <w:t>)</w:t>
      </w:r>
      <w:r w:rsidR="004F6B24">
        <w:rPr>
          <w:rFonts w:hAnsi="Times New Roman" w:cs="Times New Roman"/>
        </w:rPr>
        <w:t xml:space="preserve">. </w:t>
      </w:r>
      <w:r w:rsidR="00B858C5" w:rsidRPr="00361713">
        <w:rPr>
          <w:rFonts w:hAnsi="Times New Roman" w:cs="Times New Roman"/>
        </w:rPr>
        <w:t xml:space="preserve">This </w:t>
      </w:r>
      <w:r w:rsidR="00E417A5">
        <w:rPr>
          <w:rFonts w:hAnsi="Times New Roman" w:cs="Times New Roman"/>
        </w:rPr>
        <w:t xml:space="preserve">dominating </w:t>
      </w:r>
      <w:r w:rsidR="009577D6">
        <w:rPr>
          <w:rFonts w:hAnsi="Times New Roman" w:cs="Times New Roman"/>
        </w:rPr>
        <w:t>effect</w:t>
      </w:r>
      <w:bookmarkStart w:id="0" w:name="_GoBack"/>
      <w:bookmarkEnd w:id="0"/>
      <w:r w:rsidR="00E13B68">
        <w:rPr>
          <w:rFonts w:hAnsi="Times New Roman" w:cs="Times New Roman"/>
        </w:rPr>
        <w:t xml:space="preserve"> is perhaps best</w:t>
      </w:r>
      <w:r w:rsidR="00393A59">
        <w:rPr>
          <w:rFonts w:hAnsi="Times New Roman" w:cs="Times New Roman"/>
        </w:rPr>
        <w:t xml:space="preserve"> illustrated </w:t>
      </w:r>
      <w:r w:rsidR="00E13B68">
        <w:rPr>
          <w:rFonts w:hAnsi="Times New Roman" w:cs="Times New Roman"/>
        </w:rPr>
        <w:t>in</w:t>
      </w:r>
      <w:r w:rsidR="00393A59">
        <w:rPr>
          <w:rFonts w:hAnsi="Times New Roman" w:cs="Times New Roman"/>
        </w:rPr>
        <w:t xml:space="preserve"> the photomontage figure 9.2 dated 15 June 2016 and prepared by Orbit Solutions for the Appellant</w:t>
      </w:r>
      <w:r w:rsidR="00EB617C">
        <w:rPr>
          <w:rFonts w:hAnsi="Times New Roman" w:cs="Times New Roman"/>
        </w:rPr>
        <w:t xml:space="preserve">. </w:t>
      </w:r>
      <w:r w:rsidR="00CA2AA8">
        <w:rPr>
          <w:rFonts w:hAnsi="Times New Roman" w:cs="Times New Roman"/>
        </w:rPr>
        <w:t>It</w:t>
      </w:r>
      <w:r w:rsidR="00393A59">
        <w:rPr>
          <w:rFonts w:hAnsi="Times New Roman" w:cs="Times New Roman"/>
        </w:rPr>
        <w:t xml:space="preserve"> </w:t>
      </w:r>
      <w:r w:rsidR="00AB737E" w:rsidRPr="00361713">
        <w:rPr>
          <w:rFonts w:hAnsi="Times New Roman" w:cs="Times New Roman"/>
        </w:rPr>
        <w:t xml:space="preserve">can be </w:t>
      </w:r>
      <w:r w:rsidR="00B858C5" w:rsidRPr="00361713">
        <w:rPr>
          <w:rFonts w:hAnsi="Times New Roman" w:cs="Times New Roman"/>
        </w:rPr>
        <w:t>contrast</w:t>
      </w:r>
      <w:r w:rsidR="00AB737E" w:rsidRPr="00361713">
        <w:rPr>
          <w:rFonts w:hAnsi="Times New Roman" w:cs="Times New Roman"/>
        </w:rPr>
        <w:t>ed</w:t>
      </w:r>
      <w:r w:rsidR="00B858C5" w:rsidRPr="00361713">
        <w:rPr>
          <w:rFonts w:hAnsi="Times New Roman" w:cs="Times New Roman"/>
        </w:rPr>
        <w:t xml:space="preserve"> with the visual effects of </w:t>
      </w:r>
      <w:r w:rsidR="004F6B24">
        <w:rPr>
          <w:rFonts w:hAnsi="Times New Roman" w:cs="Times New Roman"/>
        </w:rPr>
        <w:t xml:space="preserve">the </w:t>
      </w:r>
      <w:r w:rsidR="00B858C5" w:rsidRPr="00361713">
        <w:rPr>
          <w:rFonts w:hAnsi="Times New Roman" w:cs="Times New Roman"/>
        </w:rPr>
        <w:t>existing E</w:t>
      </w:r>
      <w:r w:rsidR="004F6B24">
        <w:rPr>
          <w:rFonts w:hAnsi="Times New Roman" w:cs="Times New Roman"/>
        </w:rPr>
        <w:t>RA</w:t>
      </w:r>
      <w:r w:rsidR="00B858C5" w:rsidRPr="00361713">
        <w:rPr>
          <w:rFonts w:hAnsi="Times New Roman" w:cs="Times New Roman"/>
        </w:rPr>
        <w:t xml:space="preserve"> apartments at 163 Cremorne Street to the east. They are of a lesser scale and further from the most prominent elements on the </w:t>
      </w:r>
      <w:r w:rsidR="001E22AB">
        <w:rPr>
          <w:rFonts w:hAnsi="Times New Roman" w:cs="Times New Roman"/>
        </w:rPr>
        <w:t xml:space="preserve">nearby </w:t>
      </w:r>
      <w:r w:rsidR="00546F23">
        <w:rPr>
          <w:rFonts w:hAnsi="Times New Roman" w:cs="Times New Roman"/>
        </w:rPr>
        <w:t>Place</w:t>
      </w:r>
      <w:r w:rsidR="00546F23" w:rsidRPr="00361713">
        <w:rPr>
          <w:rFonts w:hAnsi="Times New Roman" w:cs="Times New Roman"/>
        </w:rPr>
        <w:t xml:space="preserve"> </w:t>
      </w:r>
      <w:r w:rsidR="00B858C5" w:rsidRPr="00361713">
        <w:rPr>
          <w:rFonts w:hAnsi="Times New Roman" w:cs="Times New Roman"/>
        </w:rPr>
        <w:t xml:space="preserve">– the silos. They therefore do not challenge the prominence of the historic elements of the Place </w:t>
      </w:r>
      <w:r w:rsidR="00546F23" w:rsidRPr="00361713">
        <w:rPr>
          <w:rFonts w:hAnsi="Times New Roman" w:cs="Times New Roman"/>
        </w:rPr>
        <w:t xml:space="preserve">in the same manner </w:t>
      </w:r>
      <w:r w:rsidR="00B858C5" w:rsidRPr="00361713">
        <w:rPr>
          <w:rFonts w:hAnsi="Times New Roman" w:cs="Times New Roman"/>
        </w:rPr>
        <w:t>when</w:t>
      </w:r>
      <w:r w:rsidR="00546F23">
        <w:rPr>
          <w:rFonts w:hAnsi="Times New Roman" w:cs="Times New Roman"/>
        </w:rPr>
        <w:t xml:space="preserve"> </w:t>
      </w:r>
      <w:r w:rsidR="00B858C5" w:rsidRPr="00361713">
        <w:rPr>
          <w:rFonts w:hAnsi="Times New Roman" w:cs="Times New Roman"/>
        </w:rPr>
        <w:t>viewed from the south and south</w:t>
      </w:r>
      <w:r w:rsidR="00546F23">
        <w:rPr>
          <w:rFonts w:hAnsi="Times New Roman" w:cs="Times New Roman"/>
        </w:rPr>
        <w:t>-</w:t>
      </w:r>
      <w:r w:rsidR="00B858C5" w:rsidRPr="00361713">
        <w:rPr>
          <w:rFonts w:hAnsi="Times New Roman" w:cs="Times New Roman"/>
        </w:rPr>
        <w:t>east</w:t>
      </w:r>
      <w:r w:rsidR="00AB737E" w:rsidRPr="00361713">
        <w:rPr>
          <w:rFonts w:hAnsi="Times New Roman" w:cs="Times New Roman"/>
        </w:rPr>
        <w:t>.</w:t>
      </w:r>
    </w:p>
    <w:p w14:paraId="6B00967F" w14:textId="77777777" w:rsidR="00361713" w:rsidRDefault="00484FC4"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Further, t</w:t>
      </w:r>
      <w:r w:rsidR="001E4A94" w:rsidRPr="00361713">
        <w:rPr>
          <w:rFonts w:hAnsi="Times New Roman" w:cs="Times New Roman"/>
        </w:rPr>
        <w:t>he</w:t>
      </w:r>
      <w:r w:rsidRPr="00361713">
        <w:rPr>
          <w:rFonts w:hAnsi="Times New Roman" w:cs="Times New Roman"/>
        </w:rPr>
        <w:t xml:space="preserve"> Committee considers that the </w:t>
      </w:r>
      <w:r w:rsidR="00775973" w:rsidRPr="00361713">
        <w:rPr>
          <w:rFonts w:hAnsi="Times New Roman" w:cs="Times New Roman"/>
        </w:rPr>
        <w:t xml:space="preserve">new </w:t>
      </w:r>
      <w:r w:rsidRPr="00361713">
        <w:rPr>
          <w:rFonts w:hAnsi="Times New Roman" w:cs="Times New Roman"/>
        </w:rPr>
        <w:t xml:space="preserve">southern residential </w:t>
      </w:r>
      <w:r w:rsidR="00775973" w:rsidRPr="00361713">
        <w:rPr>
          <w:rFonts w:hAnsi="Times New Roman" w:cs="Times New Roman"/>
        </w:rPr>
        <w:t>building would be</w:t>
      </w:r>
      <w:r w:rsidR="004F6B24">
        <w:rPr>
          <w:rFonts w:hAnsi="Times New Roman" w:cs="Times New Roman"/>
        </w:rPr>
        <w:t xml:space="preserve"> such a</w:t>
      </w:r>
      <w:r w:rsidR="00775973" w:rsidRPr="00361713">
        <w:rPr>
          <w:rFonts w:hAnsi="Times New Roman" w:cs="Times New Roman"/>
        </w:rPr>
        <w:t xml:space="preserve"> </w:t>
      </w:r>
      <w:r w:rsidR="00B858C5" w:rsidRPr="00361713">
        <w:rPr>
          <w:rFonts w:hAnsi="Times New Roman" w:cs="Times New Roman"/>
        </w:rPr>
        <w:t>dominant</w:t>
      </w:r>
      <w:r w:rsidR="00775973" w:rsidRPr="00361713">
        <w:rPr>
          <w:rFonts w:hAnsi="Times New Roman" w:cs="Times New Roman"/>
        </w:rPr>
        <w:t xml:space="preserve"> </w:t>
      </w:r>
      <w:r w:rsidRPr="00361713">
        <w:rPr>
          <w:rFonts w:hAnsi="Times New Roman" w:cs="Times New Roman"/>
        </w:rPr>
        <w:t>feature</w:t>
      </w:r>
      <w:r w:rsidR="00775973" w:rsidRPr="00361713">
        <w:rPr>
          <w:rFonts w:hAnsi="Times New Roman" w:cs="Times New Roman"/>
        </w:rPr>
        <w:t xml:space="preserve"> in th</w:t>
      </w:r>
      <w:r w:rsidR="00B858C5" w:rsidRPr="00361713">
        <w:rPr>
          <w:rFonts w:hAnsi="Times New Roman" w:cs="Times New Roman"/>
        </w:rPr>
        <w:t>os</w:t>
      </w:r>
      <w:r w:rsidR="00775973" w:rsidRPr="00361713">
        <w:rPr>
          <w:rFonts w:hAnsi="Times New Roman" w:cs="Times New Roman"/>
        </w:rPr>
        <w:t>e views</w:t>
      </w:r>
      <w:r w:rsidR="00B858C5" w:rsidRPr="00361713">
        <w:rPr>
          <w:rFonts w:hAnsi="Times New Roman" w:cs="Times New Roman"/>
        </w:rPr>
        <w:t xml:space="preserve"> to the Place</w:t>
      </w:r>
      <w:r w:rsidR="004F6B24">
        <w:rPr>
          <w:rFonts w:hAnsi="Times New Roman" w:cs="Times New Roman"/>
        </w:rPr>
        <w:t xml:space="preserve"> that it</w:t>
      </w:r>
      <w:r w:rsidR="00775973" w:rsidRPr="00361713">
        <w:rPr>
          <w:rFonts w:hAnsi="Times New Roman" w:cs="Times New Roman"/>
        </w:rPr>
        <w:t xml:space="preserve"> </w:t>
      </w:r>
      <w:r w:rsidRPr="00361713">
        <w:rPr>
          <w:rFonts w:hAnsi="Times New Roman" w:cs="Times New Roman"/>
        </w:rPr>
        <w:t xml:space="preserve">would detract from </w:t>
      </w:r>
      <w:r w:rsidR="00775973" w:rsidRPr="00361713">
        <w:rPr>
          <w:rFonts w:hAnsi="Times New Roman" w:cs="Times New Roman"/>
        </w:rPr>
        <w:t xml:space="preserve">the ability to appreciate the Place as </w:t>
      </w:r>
      <w:r w:rsidR="004F6B24">
        <w:rPr>
          <w:rFonts w:hAnsi="Times New Roman" w:cs="Times New Roman"/>
        </w:rPr>
        <w:t>a site having significance for its former industrial use and fabric.</w:t>
      </w:r>
      <w:r w:rsidR="0071616A" w:rsidRPr="00361713">
        <w:rPr>
          <w:rFonts w:hAnsi="Times New Roman" w:cs="Times New Roman"/>
        </w:rPr>
        <w:t xml:space="preserve"> </w:t>
      </w:r>
      <w:r w:rsidR="00775973" w:rsidRPr="00361713">
        <w:rPr>
          <w:rFonts w:hAnsi="Times New Roman" w:cs="Times New Roman"/>
        </w:rPr>
        <w:t xml:space="preserve">At the present time, </w:t>
      </w:r>
      <w:r w:rsidR="00B858C5" w:rsidRPr="00361713">
        <w:rPr>
          <w:rFonts w:hAnsi="Times New Roman" w:cs="Times New Roman"/>
        </w:rPr>
        <w:t xml:space="preserve">subject to some clearing at the eastern end of the </w:t>
      </w:r>
      <w:r w:rsidR="008B4006">
        <w:rPr>
          <w:rFonts w:hAnsi="Times New Roman" w:cs="Times New Roman"/>
        </w:rPr>
        <w:t>Place</w:t>
      </w:r>
      <w:r w:rsidR="00B858C5" w:rsidRPr="00361713">
        <w:rPr>
          <w:rFonts w:hAnsi="Times New Roman" w:cs="Times New Roman"/>
        </w:rPr>
        <w:t xml:space="preserve">, </w:t>
      </w:r>
      <w:r w:rsidR="00775973" w:rsidRPr="00361713">
        <w:rPr>
          <w:rFonts w:hAnsi="Times New Roman" w:cs="Times New Roman"/>
        </w:rPr>
        <w:t xml:space="preserve">the Place is very much </w:t>
      </w:r>
      <w:r w:rsidR="004F6B24">
        <w:rPr>
          <w:rFonts w:hAnsi="Times New Roman" w:cs="Times New Roman"/>
        </w:rPr>
        <w:t>a legible</w:t>
      </w:r>
      <w:r w:rsidR="0071616A" w:rsidRPr="00361713">
        <w:rPr>
          <w:rFonts w:hAnsi="Times New Roman" w:cs="Times New Roman"/>
        </w:rPr>
        <w:t xml:space="preserve"> industrial landscape</w:t>
      </w:r>
      <w:r w:rsidRPr="00361713">
        <w:rPr>
          <w:rFonts w:hAnsi="Times New Roman" w:cs="Times New Roman"/>
        </w:rPr>
        <w:t xml:space="preserve">. The </w:t>
      </w:r>
      <w:r w:rsidR="00443B7C">
        <w:rPr>
          <w:rFonts w:hAnsi="Times New Roman" w:cs="Times New Roman"/>
        </w:rPr>
        <w:t>overwhelming scale</w:t>
      </w:r>
      <w:r w:rsidR="00443B7C" w:rsidRPr="00361713">
        <w:rPr>
          <w:rFonts w:hAnsi="Times New Roman" w:cs="Times New Roman"/>
        </w:rPr>
        <w:t xml:space="preserve"> </w:t>
      </w:r>
      <w:r w:rsidRPr="00361713">
        <w:rPr>
          <w:rFonts w:hAnsi="Times New Roman" w:cs="Times New Roman"/>
        </w:rPr>
        <w:t xml:space="preserve">of the new buildings would be such that the Place would </w:t>
      </w:r>
      <w:r w:rsidR="00B858C5" w:rsidRPr="00361713">
        <w:rPr>
          <w:rFonts w:hAnsi="Times New Roman" w:cs="Times New Roman"/>
        </w:rPr>
        <w:t xml:space="preserve">instead </w:t>
      </w:r>
      <w:r w:rsidR="00546F23">
        <w:rPr>
          <w:rFonts w:hAnsi="Times New Roman" w:cs="Times New Roman"/>
        </w:rPr>
        <w:t>‘read’</w:t>
      </w:r>
      <w:r w:rsidR="00546F23" w:rsidRPr="00361713">
        <w:rPr>
          <w:rFonts w:hAnsi="Times New Roman" w:cs="Times New Roman"/>
        </w:rPr>
        <w:t xml:space="preserve"> </w:t>
      </w:r>
      <w:r w:rsidRPr="00361713">
        <w:rPr>
          <w:rFonts w:hAnsi="Times New Roman" w:cs="Times New Roman"/>
        </w:rPr>
        <w:t xml:space="preserve">as a residential site </w:t>
      </w:r>
      <w:r w:rsidR="00B858C5" w:rsidRPr="00361713">
        <w:rPr>
          <w:rFonts w:hAnsi="Times New Roman" w:cs="Times New Roman"/>
        </w:rPr>
        <w:t xml:space="preserve">rather </w:t>
      </w:r>
      <w:r w:rsidRPr="00361713">
        <w:rPr>
          <w:rFonts w:hAnsi="Times New Roman" w:cs="Times New Roman"/>
        </w:rPr>
        <w:t>than one which is</w:t>
      </w:r>
      <w:r w:rsidR="00ED2A58">
        <w:rPr>
          <w:rFonts w:hAnsi="Times New Roman" w:cs="Times New Roman"/>
        </w:rPr>
        <w:t xml:space="preserve"> of significance to the State of Victoria</w:t>
      </w:r>
      <w:r w:rsidRPr="00361713">
        <w:rPr>
          <w:rFonts w:hAnsi="Times New Roman" w:cs="Times New Roman"/>
        </w:rPr>
        <w:t xml:space="preserve"> in terms of </w:t>
      </w:r>
      <w:r w:rsidR="005E7247">
        <w:rPr>
          <w:rFonts w:hAnsi="Times New Roman" w:cs="Times New Roman"/>
        </w:rPr>
        <w:t xml:space="preserve">its </w:t>
      </w:r>
      <w:r w:rsidRPr="00361713">
        <w:rPr>
          <w:rFonts w:hAnsi="Times New Roman" w:cs="Times New Roman"/>
        </w:rPr>
        <w:t>industrial heritage.</w:t>
      </w:r>
      <w:r w:rsidR="00DE5DE4" w:rsidRPr="00361713">
        <w:rPr>
          <w:rFonts w:hAnsi="Times New Roman" w:cs="Times New Roman"/>
        </w:rPr>
        <w:t xml:space="preserve"> </w:t>
      </w:r>
    </w:p>
    <w:p w14:paraId="109A72A3" w14:textId="2CC7C18B" w:rsidR="00E417A5" w:rsidRDefault="00E417A5"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The Committee also considers that the presence of the new buildings as</w:t>
      </w:r>
      <w:r w:rsidR="00837D52">
        <w:rPr>
          <w:rFonts w:hAnsi="Times New Roman" w:cs="Times New Roman"/>
        </w:rPr>
        <w:t xml:space="preserve"> a</w:t>
      </w:r>
      <w:r w:rsidRPr="00361713">
        <w:rPr>
          <w:rFonts w:hAnsi="Times New Roman" w:cs="Times New Roman"/>
        </w:rPr>
        <w:t xml:space="preserve"> backdrop to the silos in the views to the Place from the west</w:t>
      </w:r>
      <w:r w:rsidR="00EC196D">
        <w:rPr>
          <w:rFonts w:hAnsi="Times New Roman" w:cs="Times New Roman"/>
        </w:rPr>
        <w:t>,</w:t>
      </w:r>
      <w:r w:rsidRPr="00361713">
        <w:rPr>
          <w:rFonts w:hAnsi="Times New Roman" w:cs="Times New Roman"/>
        </w:rPr>
        <w:t xml:space="preserve"> </w:t>
      </w:r>
      <w:r>
        <w:rPr>
          <w:rFonts w:hAnsi="Times New Roman" w:cs="Times New Roman"/>
        </w:rPr>
        <w:t xml:space="preserve">including </w:t>
      </w:r>
      <w:r w:rsidRPr="00361713">
        <w:rPr>
          <w:rFonts w:hAnsi="Times New Roman" w:cs="Times New Roman"/>
        </w:rPr>
        <w:t>from bri</w:t>
      </w:r>
      <w:r w:rsidR="00443B7C">
        <w:rPr>
          <w:rFonts w:hAnsi="Times New Roman" w:cs="Times New Roman"/>
        </w:rPr>
        <w:t>dges along the river</w:t>
      </w:r>
      <w:r w:rsidR="00EC196D">
        <w:rPr>
          <w:rFonts w:hAnsi="Times New Roman" w:cs="Times New Roman"/>
        </w:rPr>
        <w:t>,</w:t>
      </w:r>
      <w:r w:rsidR="00443B7C">
        <w:rPr>
          <w:rFonts w:hAnsi="Times New Roman" w:cs="Times New Roman"/>
        </w:rPr>
        <w:t xml:space="preserve"> would </w:t>
      </w:r>
      <w:r w:rsidRPr="00361713">
        <w:rPr>
          <w:rFonts w:hAnsi="Times New Roman" w:cs="Times New Roman"/>
        </w:rPr>
        <w:t xml:space="preserve">detract from their </w:t>
      </w:r>
      <w:r w:rsidR="005E7247">
        <w:rPr>
          <w:rFonts w:hAnsi="Times New Roman" w:cs="Times New Roman"/>
        </w:rPr>
        <w:t xml:space="preserve">prominence and hence </w:t>
      </w:r>
      <w:r w:rsidRPr="00361713">
        <w:rPr>
          <w:rFonts w:hAnsi="Times New Roman" w:cs="Times New Roman"/>
        </w:rPr>
        <w:t xml:space="preserve">landmark quality. </w:t>
      </w:r>
    </w:p>
    <w:p w14:paraId="102C8B4B" w14:textId="56CEF667" w:rsidR="00361713" w:rsidRDefault="00F961A8" w:rsidP="001971C2">
      <w:pPr>
        <w:pStyle w:val="Para1"/>
        <w:numPr>
          <w:ilvl w:val="0"/>
          <w:numId w:val="8"/>
        </w:numPr>
        <w:spacing w:line="240" w:lineRule="auto"/>
        <w:ind w:left="567" w:hanging="567"/>
        <w:rPr>
          <w:rFonts w:hAnsi="Times New Roman" w:cs="Times New Roman"/>
        </w:rPr>
      </w:pPr>
      <w:r>
        <w:rPr>
          <w:rFonts w:hAnsi="Times New Roman" w:cs="Times New Roman"/>
        </w:rPr>
        <w:t>As noted earlier, t</w:t>
      </w:r>
      <w:r w:rsidR="00727EA1" w:rsidRPr="00361713">
        <w:rPr>
          <w:rFonts w:hAnsi="Times New Roman" w:cs="Times New Roman"/>
        </w:rPr>
        <w:t xml:space="preserve">he </w:t>
      </w:r>
      <w:r w:rsidR="00F54C01" w:rsidRPr="00361713">
        <w:rPr>
          <w:rFonts w:hAnsi="Times New Roman" w:cs="Times New Roman"/>
        </w:rPr>
        <w:t>Appellant</w:t>
      </w:r>
      <w:r w:rsidR="00B858C5" w:rsidRPr="00361713">
        <w:rPr>
          <w:rFonts w:hAnsi="Times New Roman" w:cs="Times New Roman"/>
        </w:rPr>
        <w:t>’s submissions and evidence</w:t>
      </w:r>
      <w:r w:rsidR="00727EA1" w:rsidRPr="00361713">
        <w:rPr>
          <w:rFonts w:hAnsi="Times New Roman" w:cs="Times New Roman"/>
        </w:rPr>
        <w:t xml:space="preserve"> </w:t>
      </w:r>
      <w:r w:rsidR="004F6B24">
        <w:rPr>
          <w:rFonts w:hAnsi="Times New Roman" w:cs="Times New Roman"/>
        </w:rPr>
        <w:t>pointed to</w:t>
      </w:r>
      <w:r w:rsidR="00727EA1" w:rsidRPr="00361713">
        <w:rPr>
          <w:rFonts w:hAnsi="Times New Roman" w:cs="Times New Roman"/>
        </w:rPr>
        <w:t xml:space="preserve"> new large </w:t>
      </w:r>
      <w:r w:rsidR="00546F23">
        <w:rPr>
          <w:rFonts w:hAnsi="Times New Roman" w:cs="Times New Roman"/>
        </w:rPr>
        <w:t>development</w:t>
      </w:r>
      <w:r w:rsidR="00546F23" w:rsidRPr="00361713">
        <w:rPr>
          <w:rFonts w:hAnsi="Times New Roman" w:cs="Times New Roman"/>
        </w:rPr>
        <w:t xml:space="preserve">s </w:t>
      </w:r>
      <w:r w:rsidR="00727EA1" w:rsidRPr="00361713">
        <w:rPr>
          <w:rFonts w:hAnsi="Times New Roman" w:cs="Times New Roman"/>
        </w:rPr>
        <w:t xml:space="preserve">on other </w:t>
      </w:r>
      <w:r w:rsidR="004F6B24">
        <w:rPr>
          <w:rFonts w:hAnsi="Times New Roman" w:cs="Times New Roman"/>
        </w:rPr>
        <w:t xml:space="preserve">prominent </w:t>
      </w:r>
      <w:r w:rsidR="00727EA1" w:rsidRPr="00361713">
        <w:rPr>
          <w:rFonts w:hAnsi="Times New Roman" w:cs="Times New Roman"/>
        </w:rPr>
        <w:t>former industrial sites in Melbourne</w:t>
      </w:r>
      <w:r w:rsidR="004249D1">
        <w:rPr>
          <w:rFonts w:hAnsi="Times New Roman" w:cs="Times New Roman"/>
        </w:rPr>
        <w:t xml:space="preserve"> included i</w:t>
      </w:r>
      <w:r w:rsidR="001E22AB">
        <w:rPr>
          <w:rFonts w:hAnsi="Times New Roman" w:cs="Times New Roman"/>
        </w:rPr>
        <w:t xml:space="preserve">n the </w:t>
      </w:r>
      <w:r w:rsidR="00656A30">
        <w:rPr>
          <w:rFonts w:hAnsi="Times New Roman" w:cs="Times New Roman"/>
        </w:rPr>
        <w:t>R</w:t>
      </w:r>
      <w:r w:rsidR="001E22AB">
        <w:rPr>
          <w:rFonts w:hAnsi="Times New Roman" w:cs="Times New Roman"/>
        </w:rPr>
        <w:t>egister,</w:t>
      </w:r>
      <w:r w:rsidR="00727EA1" w:rsidRPr="00361713">
        <w:rPr>
          <w:rFonts w:hAnsi="Times New Roman" w:cs="Times New Roman"/>
        </w:rPr>
        <w:t xml:space="preserve"> including Kinnears Ropeworks</w:t>
      </w:r>
      <w:r w:rsidR="00397346">
        <w:rPr>
          <w:rFonts w:hAnsi="Times New Roman" w:cs="Times New Roman"/>
        </w:rPr>
        <w:t>, the Victoria Brewery</w:t>
      </w:r>
      <w:r w:rsidR="00727EA1" w:rsidRPr="00361713">
        <w:rPr>
          <w:rFonts w:hAnsi="Times New Roman" w:cs="Times New Roman"/>
        </w:rPr>
        <w:t xml:space="preserve"> and </w:t>
      </w:r>
      <w:r w:rsidR="004F6B24">
        <w:rPr>
          <w:rFonts w:hAnsi="Times New Roman" w:cs="Times New Roman"/>
        </w:rPr>
        <w:t xml:space="preserve">the </w:t>
      </w:r>
      <w:r w:rsidR="00727EA1" w:rsidRPr="00361713">
        <w:rPr>
          <w:rFonts w:hAnsi="Times New Roman" w:cs="Times New Roman"/>
        </w:rPr>
        <w:t>Yorkshire Brewery</w:t>
      </w:r>
      <w:r w:rsidR="004F6B24">
        <w:rPr>
          <w:rFonts w:hAnsi="Times New Roman" w:cs="Times New Roman"/>
        </w:rPr>
        <w:t>, which were said to be comparable to the present proposal.</w:t>
      </w:r>
      <w:r w:rsidR="00727EA1" w:rsidRPr="00361713">
        <w:rPr>
          <w:rFonts w:hAnsi="Times New Roman" w:cs="Times New Roman"/>
        </w:rPr>
        <w:t xml:space="preserve"> While we agree that </w:t>
      </w:r>
      <w:r w:rsidR="00D17B50">
        <w:rPr>
          <w:rFonts w:hAnsi="Times New Roman" w:cs="Times New Roman"/>
        </w:rPr>
        <w:t>the other sites and works</w:t>
      </w:r>
      <w:r w:rsidR="00D17B50" w:rsidRPr="00361713">
        <w:rPr>
          <w:rFonts w:hAnsi="Times New Roman" w:cs="Times New Roman"/>
        </w:rPr>
        <w:t xml:space="preserve"> </w:t>
      </w:r>
      <w:r w:rsidR="00727EA1" w:rsidRPr="00361713">
        <w:rPr>
          <w:rFonts w:hAnsi="Times New Roman" w:cs="Times New Roman"/>
        </w:rPr>
        <w:t xml:space="preserve">are quite large and visually prominent, we do not consider that </w:t>
      </w:r>
      <w:r w:rsidR="00D17B50">
        <w:rPr>
          <w:rFonts w:hAnsi="Times New Roman" w:cs="Times New Roman"/>
        </w:rPr>
        <w:t>those sites</w:t>
      </w:r>
      <w:r w:rsidR="00D17B50" w:rsidRPr="00361713">
        <w:rPr>
          <w:rFonts w:hAnsi="Times New Roman" w:cs="Times New Roman"/>
        </w:rPr>
        <w:t xml:space="preserve"> </w:t>
      </w:r>
      <w:r w:rsidR="00727EA1" w:rsidRPr="00361713">
        <w:rPr>
          <w:rFonts w:hAnsi="Times New Roman" w:cs="Times New Roman"/>
        </w:rPr>
        <w:t xml:space="preserve">have the same level of landmark and iconic status as the Place. We </w:t>
      </w:r>
      <w:r w:rsidR="00546F23">
        <w:rPr>
          <w:rFonts w:hAnsi="Times New Roman" w:cs="Times New Roman"/>
        </w:rPr>
        <w:t>also consider</w:t>
      </w:r>
      <w:r w:rsidR="00727EA1" w:rsidRPr="00361713">
        <w:rPr>
          <w:rFonts w:hAnsi="Times New Roman" w:cs="Times New Roman"/>
        </w:rPr>
        <w:t xml:space="preserve"> that the new works at the southern end of the Yorkshire Brewery are </w:t>
      </w:r>
      <w:r w:rsidR="00B858C5" w:rsidRPr="00361713">
        <w:rPr>
          <w:rFonts w:hAnsi="Times New Roman" w:cs="Times New Roman"/>
        </w:rPr>
        <w:t>well</w:t>
      </w:r>
      <w:r w:rsidR="00727EA1" w:rsidRPr="00361713">
        <w:rPr>
          <w:rFonts w:hAnsi="Times New Roman" w:cs="Times New Roman"/>
        </w:rPr>
        <w:t xml:space="preserve"> integrated </w:t>
      </w:r>
      <w:r w:rsidR="000620D3" w:rsidRPr="00361713">
        <w:rPr>
          <w:rFonts w:hAnsi="Times New Roman" w:cs="Times New Roman"/>
        </w:rPr>
        <w:t>with the heritage fabric</w:t>
      </w:r>
      <w:r w:rsidR="00381291">
        <w:rPr>
          <w:rFonts w:hAnsi="Times New Roman" w:cs="Times New Roman"/>
        </w:rPr>
        <w:t>,</w:t>
      </w:r>
      <w:r w:rsidR="000620D3" w:rsidRPr="00361713">
        <w:rPr>
          <w:rFonts w:hAnsi="Times New Roman" w:cs="Times New Roman"/>
        </w:rPr>
        <w:t xml:space="preserve"> </w:t>
      </w:r>
      <w:r w:rsidR="00727EA1" w:rsidRPr="00361713">
        <w:rPr>
          <w:rFonts w:hAnsi="Times New Roman" w:cs="Times New Roman"/>
        </w:rPr>
        <w:t xml:space="preserve">and </w:t>
      </w:r>
      <w:r w:rsidR="000620D3" w:rsidRPr="00361713">
        <w:rPr>
          <w:rFonts w:hAnsi="Times New Roman" w:cs="Times New Roman"/>
        </w:rPr>
        <w:t xml:space="preserve">we consider the additions to </w:t>
      </w:r>
      <w:r w:rsidR="00727EA1" w:rsidRPr="00361713">
        <w:rPr>
          <w:rFonts w:hAnsi="Times New Roman" w:cs="Times New Roman"/>
        </w:rPr>
        <w:t xml:space="preserve">the Victoria Brewery </w:t>
      </w:r>
      <w:r w:rsidR="000620D3" w:rsidRPr="00361713">
        <w:rPr>
          <w:rFonts w:hAnsi="Times New Roman" w:cs="Times New Roman"/>
        </w:rPr>
        <w:t>site</w:t>
      </w:r>
      <w:r w:rsidR="00B858C5" w:rsidRPr="00361713">
        <w:rPr>
          <w:rFonts w:hAnsi="Times New Roman" w:cs="Times New Roman"/>
        </w:rPr>
        <w:t>,</w:t>
      </w:r>
      <w:r w:rsidR="000620D3" w:rsidRPr="00361713">
        <w:rPr>
          <w:rFonts w:hAnsi="Times New Roman" w:cs="Times New Roman"/>
        </w:rPr>
        <w:t xml:space="preserve"> </w:t>
      </w:r>
      <w:r w:rsidR="00727EA1" w:rsidRPr="00361713">
        <w:rPr>
          <w:rFonts w:hAnsi="Times New Roman" w:cs="Times New Roman"/>
        </w:rPr>
        <w:t xml:space="preserve">to which we were also </w:t>
      </w:r>
      <w:r w:rsidR="000620D3" w:rsidRPr="00361713">
        <w:rPr>
          <w:rFonts w:hAnsi="Times New Roman" w:cs="Times New Roman"/>
        </w:rPr>
        <w:t>referred</w:t>
      </w:r>
      <w:r w:rsidR="00B858C5" w:rsidRPr="00361713">
        <w:rPr>
          <w:rFonts w:hAnsi="Times New Roman" w:cs="Times New Roman"/>
        </w:rPr>
        <w:t>,</w:t>
      </w:r>
      <w:r w:rsidR="000620D3" w:rsidRPr="00361713">
        <w:rPr>
          <w:rFonts w:hAnsi="Times New Roman" w:cs="Times New Roman"/>
        </w:rPr>
        <w:t xml:space="preserve"> to </w:t>
      </w:r>
      <w:r w:rsidR="00B858C5" w:rsidRPr="00361713">
        <w:rPr>
          <w:rFonts w:hAnsi="Times New Roman" w:cs="Times New Roman"/>
        </w:rPr>
        <w:t>compleme</w:t>
      </w:r>
      <w:r w:rsidR="0022759F" w:rsidRPr="00361713">
        <w:rPr>
          <w:rFonts w:hAnsi="Times New Roman" w:cs="Times New Roman"/>
        </w:rPr>
        <w:t>nt</w:t>
      </w:r>
      <w:r w:rsidR="00B858C5" w:rsidRPr="00361713">
        <w:rPr>
          <w:rFonts w:hAnsi="Times New Roman" w:cs="Times New Roman"/>
        </w:rPr>
        <w:t xml:space="preserve"> rather than challeng</w:t>
      </w:r>
      <w:r w:rsidR="0022759F" w:rsidRPr="00361713">
        <w:rPr>
          <w:rFonts w:hAnsi="Times New Roman" w:cs="Times New Roman"/>
        </w:rPr>
        <w:t>e</w:t>
      </w:r>
      <w:r w:rsidR="00B858C5" w:rsidRPr="00361713">
        <w:rPr>
          <w:rFonts w:hAnsi="Times New Roman" w:cs="Times New Roman"/>
        </w:rPr>
        <w:t xml:space="preserve"> the </w:t>
      </w:r>
      <w:r w:rsidR="0022759F" w:rsidRPr="00361713">
        <w:rPr>
          <w:rFonts w:hAnsi="Times New Roman" w:cs="Times New Roman"/>
        </w:rPr>
        <w:t>presentation</w:t>
      </w:r>
      <w:r w:rsidR="00B858C5" w:rsidRPr="00361713">
        <w:rPr>
          <w:rFonts w:hAnsi="Times New Roman" w:cs="Times New Roman"/>
        </w:rPr>
        <w:t xml:space="preserve"> of the </w:t>
      </w:r>
      <w:r w:rsidR="008B4006">
        <w:rPr>
          <w:rFonts w:hAnsi="Times New Roman" w:cs="Times New Roman"/>
        </w:rPr>
        <w:t>site</w:t>
      </w:r>
      <w:r w:rsidR="00B858C5" w:rsidRPr="00361713">
        <w:rPr>
          <w:rFonts w:hAnsi="Times New Roman" w:cs="Times New Roman"/>
        </w:rPr>
        <w:t xml:space="preserve"> as </w:t>
      </w:r>
      <w:r w:rsidR="0022759F" w:rsidRPr="00361713">
        <w:rPr>
          <w:rFonts w:hAnsi="Times New Roman" w:cs="Times New Roman"/>
        </w:rPr>
        <w:t>having a former industrial use</w:t>
      </w:r>
      <w:r w:rsidR="000620D3" w:rsidRPr="00361713">
        <w:rPr>
          <w:rFonts w:hAnsi="Times New Roman" w:cs="Times New Roman"/>
        </w:rPr>
        <w:t>.</w:t>
      </w:r>
    </w:p>
    <w:p w14:paraId="17E878F1" w14:textId="77777777" w:rsidR="007506E4" w:rsidRDefault="004246FE"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Place can </w:t>
      </w:r>
      <w:r w:rsidR="0022759F" w:rsidRPr="00361713">
        <w:rPr>
          <w:rFonts w:hAnsi="Times New Roman" w:cs="Times New Roman"/>
        </w:rPr>
        <w:t xml:space="preserve">also </w:t>
      </w:r>
      <w:r w:rsidRPr="00361713">
        <w:rPr>
          <w:rFonts w:hAnsi="Times New Roman" w:cs="Times New Roman"/>
        </w:rPr>
        <w:t xml:space="preserve">be </w:t>
      </w:r>
      <w:r w:rsidR="00314538">
        <w:rPr>
          <w:rFonts w:hAnsi="Times New Roman" w:cs="Times New Roman"/>
        </w:rPr>
        <w:t xml:space="preserve">well </w:t>
      </w:r>
      <w:r w:rsidR="00E417A5">
        <w:rPr>
          <w:rFonts w:hAnsi="Times New Roman" w:cs="Times New Roman"/>
        </w:rPr>
        <w:t>understood</w:t>
      </w:r>
      <w:r w:rsidR="00E417A5" w:rsidRPr="00361713">
        <w:rPr>
          <w:rFonts w:hAnsi="Times New Roman" w:cs="Times New Roman"/>
        </w:rPr>
        <w:t xml:space="preserve"> </w:t>
      </w:r>
      <w:r w:rsidRPr="00361713">
        <w:rPr>
          <w:rFonts w:hAnsi="Times New Roman" w:cs="Times New Roman"/>
        </w:rPr>
        <w:t>as an industrial landscape</w:t>
      </w:r>
      <w:r w:rsidR="008E6F9F">
        <w:rPr>
          <w:rFonts w:hAnsi="Times New Roman" w:cs="Times New Roman"/>
        </w:rPr>
        <w:t xml:space="preserve"> when viewed</w:t>
      </w:r>
      <w:r w:rsidRPr="00361713">
        <w:rPr>
          <w:rFonts w:hAnsi="Times New Roman" w:cs="Times New Roman"/>
        </w:rPr>
        <w:t xml:space="preserve"> from </w:t>
      </w:r>
      <w:r w:rsidR="00727EA1" w:rsidRPr="00361713">
        <w:rPr>
          <w:rFonts w:hAnsi="Times New Roman" w:cs="Times New Roman"/>
        </w:rPr>
        <w:t xml:space="preserve">closer </w:t>
      </w:r>
      <w:r w:rsidRPr="00361713">
        <w:rPr>
          <w:rFonts w:hAnsi="Times New Roman" w:cs="Times New Roman"/>
        </w:rPr>
        <w:t xml:space="preserve">locations </w:t>
      </w:r>
      <w:r w:rsidR="001E22AB">
        <w:rPr>
          <w:rFonts w:hAnsi="Times New Roman" w:cs="Times New Roman"/>
        </w:rPr>
        <w:t xml:space="preserve">on the northern side of the river. We do not consider that such views are irrelevant local views as asserted by Mr Raworth. There is no hierarchy of views nominated in the </w:t>
      </w:r>
      <w:r w:rsidR="00AC4B55">
        <w:rPr>
          <w:rFonts w:hAnsi="Times New Roman" w:cs="Times New Roman"/>
        </w:rPr>
        <w:t>S</w:t>
      </w:r>
      <w:r w:rsidR="001E22AB">
        <w:rPr>
          <w:rFonts w:hAnsi="Times New Roman" w:cs="Times New Roman"/>
        </w:rPr>
        <w:t xml:space="preserve">tatement of </w:t>
      </w:r>
      <w:r w:rsidR="00AC4B55">
        <w:rPr>
          <w:rFonts w:hAnsi="Times New Roman" w:cs="Times New Roman"/>
        </w:rPr>
        <w:t>S</w:t>
      </w:r>
      <w:r w:rsidR="001E22AB">
        <w:rPr>
          <w:rFonts w:hAnsi="Times New Roman" w:cs="Times New Roman"/>
        </w:rPr>
        <w:t xml:space="preserve">ignificance and </w:t>
      </w:r>
      <w:r w:rsidR="00E417A5">
        <w:rPr>
          <w:rFonts w:hAnsi="Times New Roman" w:cs="Times New Roman"/>
        </w:rPr>
        <w:t xml:space="preserve">indeed </w:t>
      </w:r>
      <w:r w:rsidR="00443B7C">
        <w:rPr>
          <w:rFonts w:hAnsi="Times New Roman" w:cs="Times New Roman"/>
        </w:rPr>
        <w:t>i</w:t>
      </w:r>
      <w:r w:rsidR="0061488D">
        <w:rPr>
          <w:rFonts w:hAnsi="Times New Roman" w:cs="Times New Roman"/>
        </w:rPr>
        <w:t>t</w:t>
      </w:r>
      <w:r w:rsidR="00443B7C">
        <w:rPr>
          <w:rFonts w:hAnsi="Times New Roman" w:cs="Times New Roman"/>
        </w:rPr>
        <w:t xml:space="preserve"> </w:t>
      </w:r>
      <w:r w:rsidR="0061488D">
        <w:rPr>
          <w:rFonts w:hAnsi="Times New Roman" w:cs="Times New Roman"/>
        </w:rPr>
        <w:t>makes</w:t>
      </w:r>
      <w:r w:rsidR="00443B7C">
        <w:rPr>
          <w:rFonts w:hAnsi="Times New Roman" w:cs="Times New Roman"/>
        </w:rPr>
        <w:t xml:space="preserve"> </w:t>
      </w:r>
      <w:r w:rsidR="00E417A5">
        <w:rPr>
          <w:rFonts w:hAnsi="Times New Roman" w:cs="Times New Roman"/>
        </w:rPr>
        <w:t>reference to the townscape of Richmond</w:t>
      </w:r>
      <w:r w:rsidR="00C50300">
        <w:rPr>
          <w:rFonts w:hAnsi="Times New Roman" w:cs="Times New Roman"/>
        </w:rPr>
        <w:t xml:space="preserve"> as well as the views from South Yarra and the river</w:t>
      </w:r>
      <w:r w:rsidR="00E417A5">
        <w:rPr>
          <w:rFonts w:hAnsi="Times New Roman" w:cs="Times New Roman"/>
        </w:rPr>
        <w:t xml:space="preserve">. </w:t>
      </w:r>
      <w:r w:rsidR="00443B7C">
        <w:rPr>
          <w:rFonts w:hAnsi="Times New Roman" w:cs="Times New Roman"/>
        </w:rPr>
        <w:t xml:space="preserve">The Committee considers that in </w:t>
      </w:r>
      <w:r w:rsidR="001E22AB">
        <w:rPr>
          <w:rFonts w:hAnsi="Times New Roman" w:cs="Times New Roman"/>
        </w:rPr>
        <w:t>the views from</w:t>
      </w:r>
      <w:r w:rsidR="0022759F" w:rsidRPr="00361713">
        <w:rPr>
          <w:rFonts w:hAnsi="Times New Roman" w:cs="Times New Roman"/>
        </w:rPr>
        <w:t xml:space="preserve"> </w:t>
      </w:r>
      <w:r w:rsidR="00314538">
        <w:rPr>
          <w:rFonts w:hAnsi="Times New Roman" w:cs="Times New Roman"/>
        </w:rPr>
        <w:t xml:space="preserve">nearby </w:t>
      </w:r>
      <w:r w:rsidR="0022759F" w:rsidRPr="00361713">
        <w:rPr>
          <w:rFonts w:hAnsi="Times New Roman" w:cs="Times New Roman"/>
        </w:rPr>
        <w:t>places such as Cremorne</w:t>
      </w:r>
      <w:r w:rsidR="00B07E92">
        <w:rPr>
          <w:rFonts w:hAnsi="Times New Roman" w:cs="Times New Roman"/>
        </w:rPr>
        <w:t xml:space="preserve"> </w:t>
      </w:r>
      <w:r w:rsidR="00D27E29">
        <w:rPr>
          <w:rFonts w:hAnsi="Times New Roman" w:cs="Times New Roman"/>
        </w:rPr>
        <w:t>Street</w:t>
      </w:r>
      <w:r w:rsidR="0022759F" w:rsidRPr="00361713">
        <w:rPr>
          <w:rFonts w:hAnsi="Times New Roman" w:cs="Times New Roman"/>
        </w:rPr>
        <w:t xml:space="preserve"> </w:t>
      </w:r>
      <w:r w:rsidR="00533F50">
        <w:rPr>
          <w:rFonts w:hAnsi="Times New Roman" w:cs="Times New Roman"/>
        </w:rPr>
        <w:t>and</w:t>
      </w:r>
      <w:r w:rsidR="0022759F" w:rsidRPr="00361713">
        <w:rPr>
          <w:rFonts w:hAnsi="Times New Roman" w:cs="Times New Roman"/>
        </w:rPr>
        <w:t xml:space="preserve"> Balmain Street</w:t>
      </w:r>
      <w:r w:rsidR="007506E4">
        <w:rPr>
          <w:rFonts w:hAnsi="Times New Roman" w:cs="Times New Roman"/>
        </w:rPr>
        <w:t>,</w:t>
      </w:r>
      <w:r w:rsidR="0022759F" w:rsidRPr="00361713">
        <w:rPr>
          <w:rFonts w:hAnsi="Times New Roman" w:cs="Times New Roman"/>
        </w:rPr>
        <w:t xml:space="preserve"> the industrial nature of </w:t>
      </w:r>
      <w:r w:rsidR="00546F23">
        <w:rPr>
          <w:rFonts w:hAnsi="Times New Roman" w:cs="Times New Roman"/>
        </w:rPr>
        <w:t xml:space="preserve">the </w:t>
      </w:r>
      <w:r w:rsidR="00890CAE" w:rsidRPr="00361713">
        <w:rPr>
          <w:rFonts w:hAnsi="Times New Roman" w:cs="Times New Roman"/>
        </w:rPr>
        <w:t xml:space="preserve">lower rise as well as taller </w:t>
      </w:r>
      <w:r w:rsidR="0022759F" w:rsidRPr="00361713">
        <w:rPr>
          <w:rFonts w:hAnsi="Times New Roman" w:cs="Times New Roman"/>
        </w:rPr>
        <w:t xml:space="preserve">buildings on the </w:t>
      </w:r>
      <w:r w:rsidR="00DB4EF5">
        <w:rPr>
          <w:rFonts w:hAnsi="Times New Roman" w:cs="Times New Roman"/>
        </w:rPr>
        <w:t>Place</w:t>
      </w:r>
      <w:r w:rsidR="0022759F" w:rsidRPr="00361713">
        <w:rPr>
          <w:rFonts w:hAnsi="Times New Roman" w:cs="Times New Roman"/>
        </w:rPr>
        <w:t xml:space="preserve"> can perhaps be better </w:t>
      </w:r>
      <w:r w:rsidR="00E417A5">
        <w:rPr>
          <w:rFonts w:hAnsi="Times New Roman" w:cs="Times New Roman"/>
        </w:rPr>
        <w:t>appreciated</w:t>
      </w:r>
      <w:r w:rsidR="00443B7C">
        <w:rPr>
          <w:rFonts w:hAnsi="Times New Roman" w:cs="Times New Roman"/>
        </w:rPr>
        <w:t xml:space="preserve"> than from more distant locations across or along the river.</w:t>
      </w:r>
      <w:r w:rsidR="00546F23">
        <w:rPr>
          <w:rFonts w:hAnsi="Times New Roman" w:cs="Times New Roman"/>
        </w:rPr>
        <w:t xml:space="preserve"> </w:t>
      </w:r>
    </w:p>
    <w:p w14:paraId="4C746DF9" w14:textId="77777777" w:rsidR="00361713" w:rsidRDefault="00546F23" w:rsidP="001971C2">
      <w:pPr>
        <w:pStyle w:val="Para1"/>
        <w:numPr>
          <w:ilvl w:val="0"/>
          <w:numId w:val="8"/>
        </w:numPr>
        <w:spacing w:line="240" w:lineRule="auto"/>
        <w:ind w:left="567" w:hanging="567"/>
        <w:rPr>
          <w:rFonts w:hAnsi="Times New Roman" w:cs="Times New Roman"/>
        </w:rPr>
      </w:pPr>
      <w:r>
        <w:rPr>
          <w:rFonts w:hAnsi="Times New Roman" w:cs="Times New Roman"/>
        </w:rPr>
        <w:t xml:space="preserve">The </w:t>
      </w:r>
      <w:r w:rsidR="00DB4EF5">
        <w:rPr>
          <w:rFonts w:hAnsi="Times New Roman" w:cs="Times New Roman"/>
        </w:rPr>
        <w:t>Place</w:t>
      </w:r>
      <w:r>
        <w:rPr>
          <w:rFonts w:hAnsi="Times New Roman" w:cs="Times New Roman"/>
        </w:rPr>
        <w:t xml:space="preserve">’s particular industrial aesthetic associated with the malting process is </w:t>
      </w:r>
      <w:r w:rsidR="00443B7C">
        <w:rPr>
          <w:rFonts w:hAnsi="Times New Roman" w:cs="Times New Roman"/>
        </w:rPr>
        <w:t>very</w:t>
      </w:r>
      <w:r>
        <w:rPr>
          <w:rFonts w:hAnsi="Times New Roman" w:cs="Times New Roman"/>
        </w:rPr>
        <w:t xml:space="preserve"> apparent in these close views. The Place presents as a</w:t>
      </w:r>
      <w:r w:rsidR="005324D3">
        <w:rPr>
          <w:rFonts w:hAnsi="Times New Roman" w:cs="Times New Roman"/>
        </w:rPr>
        <w:t xml:space="preserve"> </w:t>
      </w:r>
      <w:r>
        <w:rPr>
          <w:rFonts w:hAnsi="Times New Roman" w:cs="Times New Roman"/>
        </w:rPr>
        <w:t xml:space="preserve">collection of connected </w:t>
      </w:r>
      <w:r w:rsidR="005324D3">
        <w:rPr>
          <w:rFonts w:hAnsi="Times New Roman" w:cs="Times New Roman"/>
        </w:rPr>
        <w:t>and</w:t>
      </w:r>
      <w:r>
        <w:rPr>
          <w:rFonts w:hAnsi="Times New Roman" w:cs="Times New Roman"/>
        </w:rPr>
        <w:t xml:space="preserve"> closely situated buildings </w:t>
      </w:r>
      <w:r w:rsidR="00E417A5">
        <w:rPr>
          <w:rFonts w:hAnsi="Times New Roman" w:cs="Times New Roman"/>
        </w:rPr>
        <w:t xml:space="preserve">which </w:t>
      </w:r>
      <w:r w:rsidR="00922074">
        <w:rPr>
          <w:rFonts w:hAnsi="Times New Roman" w:cs="Times New Roman"/>
        </w:rPr>
        <w:t>adopt a variety of specialised</w:t>
      </w:r>
      <w:r w:rsidR="005324D3">
        <w:rPr>
          <w:rFonts w:hAnsi="Times New Roman" w:cs="Times New Roman"/>
        </w:rPr>
        <w:t xml:space="preserve"> </w:t>
      </w:r>
      <w:r w:rsidR="00443B7C">
        <w:rPr>
          <w:rFonts w:hAnsi="Times New Roman" w:cs="Times New Roman"/>
        </w:rPr>
        <w:t xml:space="preserve">industrial </w:t>
      </w:r>
      <w:r>
        <w:rPr>
          <w:rFonts w:hAnsi="Times New Roman" w:cs="Times New Roman"/>
        </w:rPr>
        <w:t xml:space="preserve">forms including </w:t>
      </w:r>
      <w:r w:rsidR="00E417A5">
        <w:rPr>
          <w:rFonts w:hAnsi="Times New Roman" w:cs="Times New Roman"/>
        </w:rPr>
        <w:t xml:space="preserve">silo structures </w:t>
      </w:r>
      <w:r>
        <w:rPr>
          <w:rFonts w:hAnsi="Times New Roman" w:cs="Times New Roman"/>
        </w:rPr>
        <w:t>and malt house</w:t>
      </w:r>
      <w:r w:rsidR="001E22AB">
        <w:rPr>
          <w:rFonts w:hAnsi="Times New Roman" w:cs="Times New Roman"/>
        </w:rPr>
        <w:t>s with distinct roof types</w:t>
      </w:r>
      <w:r>
        <w:rPr>
          <w:rFonts w:hAnsi="Times New Roman" w:cs="Times New Roman"/>
        </w:rPr>
        <w:t xml:space="preserve">.  </w:t>
      </w:r>
      <w:r w:rsidR="001E22AB">
        <w:rPr>
          <w:rFonts w:hAnsi="Times New Roman" w:cs="Times New Roman"/>
        </w:rPr>
        <w:t xml:space="preserve">The building </w:t>
      </w:r>
      <w:r w:rsidR="00314538">
        <w:rPr>
          <w:rFonts w:hAnsi="Times New Roman" w:cs="Times New Roman"/>
        </w:rPr>
        <w:t>styles</w:t>
      </w:r>
      <w:r w:rsidR="00CC15C5">
        <w:rPr>
          <w:rFonts w:hAnsi="Times New Roman" w:cs="Times New Roman"/>
        </w:rPr>
        <w:t xml:space="preserve"> also</w:t>
      </w:r>
      <w:r w:rsidR="00314538">
        <w:rPr>
          <w:rFonts w:hAnsi="Times New Roman" w:cs="Times New Roman"/>
        </w:rPr>
        <w:t xml:space="preserve"> r</w:t>
      </w:r>
      <w:r w:rsidR="00E417A5">
        <w:rPr>
          <w:rFonts w:hAnsi="Times New Roman" w:cs="Times New Roman"/>
        </w:rPr>
        <w:t>eflect</w:t>
      </w:r>
      <w:r w:rsidR="001E22AB">
        <w:rPr>
          <w:rFonts w:hAnsi="Times New Roman" w:cs="Times New Roman"/>
        </w:rPr>
        <w:t xml:space="preserve"> changing </w:t>
      </w:r>
      <w:r w:rsidR="005E7247">
        <w:rPr>
          <w:rFonts w:hAnsi="Times New Roman" w:cs="Times New Roman"/>
        </w:rPr>
        <w:t xml:space="preserve">industrial </w:t>
      </w:r>
      <w:r w:rsidR="001E22AB">
        <w:rPr>
          <w:rFonts w:hAnsi="Times New Roman" w:cs="Times New Roman"/>
        </w:rPr>
        <w:t xml:space="preserve">processes over the years. </w:t>
      </w:r>
      <w:r w:rsidR="00CC15C5">
        <w:rPr>
          <w:rFonts w:hAnsi="Times New Roman" w:cs="Times New Roman"/>
        </w:rPr>
        <w:t>In addition, t</w:t>
      </w:r>
      <w:r w:rsidR="001E22AB">
        <w:rPr>
          <w:rFonts w:hAnsi="Times New Roman" w:cs="Times New Roman"/>
        </w:rPr>
        <w:t xml:space="preserve">hese closer views enable an appreciation of </w:t>
      </w:r>
      <w:r w:rsidR="0022759F" w:rsidRPr="00361713">
        <w:rPr>
          <w:rFonts w:hAnsi="Times New Roman" w:cs="Times New Roman"/>
        </w:rPr>
        <w:t>the relationship of this industrial complex to former workers’ housing in surrounding streets</w:t>
      </w:r>
      <w:r w:rsidR="005E7247">
        <w:rPr>
          <w:rFonts w:hAnsi="Times New Roman" w:cs="Times New Roman"/>
        </w:rPr>
        <w:t xml:space="preserve"> in Richmond</w:t>
      </w:r>
      <w:r w:rsidR="00656A30">
        <w:rPr>
          <w:rFonts w:hAnsi="Times New Roman" w:cs="Times New Roman"/>
        </w:rPr>
        <w:t>.</w:t>
      </w:r>
      <w:r w:rsidR="0022759F" w:rsidRPr="00361713">
        <w:rPr>
          <w:rFonts w:hAnsi="Times New Roman" w:cs="Times New Roman"/>
        </w:rPr>
        <w:t xml:space="preserve"> The</w:t>
      </w:r>
      <w:r w:rsidR="001E22AB">
        <w:rPr>
          <w:rFonts w:hAnsi="Times New Roman" w:cs="Times New Roman"/>
        </w:rPr>
        <w:t xml:space="preserve"> presentation of the </w:t>
      </w:r>
      <w:r w:rsidR="00314538">
        <w:rPr>
          <w:rFonts w:hAnsi="Times New Roman" w:cs="Times New Roman"/>
        </w:rPr>
        <w:t>Place</w:t>
      </w:r>
      <w:r w:rsidR="001E22AB">
        <w:rPr>
          <w:rFonts w:hAnsi="Times New Roman" w:cs="Times New Roman"/>
        </w:rPr>
        <w:t xml:space="preserve"> to these nearby streets</w:t>
      </w:r>
      <w:r w:rsidR="0022759F" w:rsidRPr="00361713">
        <w:rPr>
          <w:rFonts w:hAnsi="Times New Roman" w:cs="Times New Roman"/>
        </w:rPr>
        <w:t>, while</w:t>
      </w:r>
      <w:r w:rsidR="001E22AB">
        <w:rPr>
          <w:rFonts w:hAnsi="Times New Roman" w:cs="Times New Roman"/>
        </w:rPr>
        <w:t xml:space="preserve"> it is</w:t>
      </w:r>
      <w:r w:rsidR="0022759F" w:rsidRPr="00361713">
        <w:rPr>
          <w:rFonts w:hAnsi="Times New Roman" w:cs="Times New Roman"/>
        </w:rPr>
        <w:t xml:space="preserve"> not as dramatic as </w:t>
      </w:r>
      <w:r w:rsidR="00314538">
        <w:rPr>
          <w:rFonts w:hAnsi="Times New Roman" w:cs="Times New Roman"/>
        </w:rPr>
        <w:t>to</w:t>
      </w:r>
      <w:r w:rsidR="0022759F" w:rsidRPr="00361713">
        <w:rPr>
          <w:rFonts w:hAnsi="Times New Roman" w:cs="Times New Roman"/>
        </w:rPr>
        <w:t xml:space="preserve"> the </w:t>
      </w:r>
      <w:r w:rsidR="00314538">
        <w:rPr>
          <w:rFonts w:hAnsi="Times New Roman" w:cs="Times New Roman"/>
        </w:rPr>
        <w:t xml:space="preserve">west, </w:t>
      </w:r>
      <w:r w:rsidR="0022759F" w:rsidRPr="00361713">
        <w:rPr>
          <w:rFonts w:hAnsi="Times New Roman" w:cs="Times New Roman"/>
        </w:rPr>
        <w:t>south and south</w:t>
      </w:r>
      <w:r w:rsidR="001E22AB">
        <w:rPr>
          <w:rFonts w:hAnsi="Times New Roman" w:cs="Times New Roman"/>
        </w:rPr>
        <w:t>-</w:t>
      </w:r>
      <w:r w:rsidR="0022759F" w:rsidRPr="00361713">
        <w:rPr>
          <w:rFonts w:hAnsi="Times New Roman" w:cs="Times New Roman"/>
        </w:rPr>
        <w:t xml:space="preserve">east, </w:t>
      </w:r>
      <w:r w:rsidR="00314538">
        <w:rPr>
          <w:rFonts w:hAnsi="Times New Roman" w:cs="Times New Roman"/>
        </w:rPr>
        <w:t xml:space="preserve">is </w:t>
      </w:r>
      <w:r w:rsidR="004246FE" w:rsidRPr="00361713">
        <w:rPr>
          <w:rFonts w:hAnsi="Times New Roman" w:cs="Times New Roman"/>
        </w:rPr>
        <w:t xml:space="preserve">nevertheless part of the landmark qualities of the </w:t>
      </w:r>
      <w:r w:rsidR="00DB4EF5">
        <w:rPr>
          <w:rFonts w:hAnsi="Times New Roman" w:cs="Times New Roman"/>
        </w:rPr>
        <w:t>Place</w:t>
      </w:r>
      <w:r w:rsidR="004246FE" w:rsidRPr="00361713">
        <w:rPr>
          <w:rFonts w:hAnsi="Times New Roman" w:cs="Times New Roman"/>
        </w:rPr>
        <w:t>.</w:t>
      </w:r>
      <w:r w:rsidR="00AC3F01" w:rsidRPr="00361713">
        <w:rPr>
          <w:rFonts w:hAnsi="Times New Roman" w:cs="Times New Roman"/>
        </w:rPr>
        <w:t xml:space="preserve"> The Committee </w:t>
      </w:r>
      <w:r w:rsidR="00727EA1" w:rsidRPr="00361713">
        <w:rPr>
          <w:rFonts w:hAnsi="Times New Roman" w:cs="Times New Roman"/>
        </w:rPr>
        <w:t>a</w:t>
      </w:r>
      <w:r w:rsidR="00F817B1" w:rsidRPr="00361713">
        <w:rPr>
          <w:rFonts w:hAnsi="Times New Roman" w:cs="Times New Roman"/>
        </w:rPr>
        <w:t>l</w:t>
      </w:r>
      <w:r w:rsidR="00727EA1" w:rsidRPr="00361713">
        <w:rPr>
          <w:rFonts w:hAnsi="Times New Roman" w:cs="Times New Roman"/>
        </w:rPr>
        <w:t xml:space="preserve">so </w:t>
      </w:r>
      <w:r w:rsidR="00AC3F01" w:rsidRPr="00361713">
        <w:rPr>
          <w:rFonts w:hAnsi="Times New Roman" w:cs="Times New Roman"/>
        </w:rPr>
        <w:t xml:space="preserve">finds that the proposed works </w:t>
      </w:r>
      <w:r w:rsidR="00890CAE" w:rsidRPr="00361713">
        <w:rPr>
          <w:rFonts w:hAnsi="Times New Roman" w:cs="Times New Roman"/>
        </w:rPr>
        <w:t xml:space="preserve">would </w:t>
      </w:r>
      <w:r w:rsidR="00AC3F01" w:rsidRPr="00361713">
        <w:rPr>
          <w:rFonts w:hAnsi="Times New Roman" w:cs="Times New Roman"/>
        </w:rPr>
        <w:t>detrimentally impact on the</w:t>
      </w:r>
      <w:r w:rsidR="00B447D1" w:rsidRPr="00361713">
        <w:rPr>
          <w:rFonts w:hAnsi="Times New Roman" w:cs="Times New Roman"/>
        </w:rPr>
        <w:t xml:space="preserve"> ability of residents and </w:t>
      </w:r>
      <w:r w:rsidR="00852412" w:rsidRPr="00361713">
        <w:rPr>
          <w:rFonts w:hAnsi="Times New Roman" w:cs="Times New Roman"/>
        </w:rPr>
        <w:t xml:space="preserve">of </w:t>
      </w:r>
      <w:r w:rsidR="00B447D1" w:rsidRPr="00361713">
        <w:rPr>
          <w:rFonts w:hAnsi="Times New Roman" w:cs="Times New Roman"/>
        </w:rPr>
        <w:t xml:space="preserve">visitors to nearby streets to appreciate the landmark </w:t>
      </w:r>
      <w:r w:rsidR="00FA19BF" w:rsidRPr="00361713">
        <w:rPr>
          <w:rFonts w:hAnsi="Times New Roman" w:cs="Times New Roman"/>
        </w:rPr>
        <w:t xml:space="preserve">industrial </w:t>
      </w:r>
      <w:r w:rsidR="00B447D1" w:rsidRPr="00361713">
        <w:rPr>
          <w:rFonts w:hAnsi="Times New Roman" w:cs="Times New Roman"/>
        </w:rPr>
        <w:t>qualities of the Place.</w:t>
      </w:r>
      <w:r w:rsidR="00AC3F01" w:rsidRPr="00361713">
        <w:rPr>
          <w:rFonts w:hAnsi="Times New Roman" w:cs="Times New Roman"/>
        </w:rPr>
        <w:t xml:space="preserve"> </w:t>
      </w:r>
    </w:p>
    <w:p w14:paraId="29ABBAAE" w14:textId="77777777" w:rsidR="00361713" w:rsidRPr="0075576C" w:rsidRDefault="00AF06F5" w:rsidP="0075576C">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Committee is </w:t>
      </w:r>
      <w:r w:rsidR="00314538">
        <w:rPr>
          <w:rFonts w:hAnsi="Times New Roman" w:cs="Times New Roman"/>
        </w:rPr>
        <w:t xml:space="preserve">further </w:t>
      </w:r>
      <w:r w:rsidRPr="00361713">
        <w:rPr>
          <w:rFonts w:hAnsi="Times New Roman" w:cs="Times New Roman"/>
        </w:rPr>
        <w:t xml:space="preserve">of the view that the </w:t>
      </w:r>
      <w:r w:rsidR="00AC3F23" w:rsidRPr="00361713">
        <w:rPr>
          <w:rFonts w:hAnsi="Times New Roman" w:cs="Times New Roman"/>
        </w:rPr>
        <w:t xml:space="preserve">aesthetic </w:t>
      </w:r>
      <w:r w:rsidRPr="00361713">
        <w:rPr>
          <w:rFonts w:hAnsi="Times New Roman" w:cs="Times New Roman"/>
        </w:rPr>
        <w:t xml:space="preserve">experience of the industrial landscape </w:t>
      </w:r>
      <w:r w:rsidR="00A84A14">
        <w:rPr>
          <w:rFonts w:hAnsi="Times New Roman" w:cs="Times New Roman"/>
        </w:rPr>
        <w:t>from within</w:t>
      </w:r>
      <w:r w:rsidRPr="00361713">
        <w:rPr>
          <w:rFonts w:hAnsi="Times New Roman" w:cs="Times New Roman"/>
        </w:rPr>
        <w:t xml:space="preserve"> the Place </w:t>
      </w:r>
      <w:r w:rsidR="00314538">
        <w:rPr>
          <w:rFonts w:hAnsi="Times New Roman" w:cs="Times New Roman"/>
        </w:rPr>
        <w:t xml:space="preserve">itself </w:t>
      </w:r>
      <w:r w:rsidRPr="00361713">
        <w:rPr>
          <w:rFonts w:hAnsi="Times New Roman" w:cs="Times New Roman"/>
        </w:rPr>
        <w:t xml:space="preserve">would be negatively impacted by the proposed new </w:t>
      </w:r>
      <w:r w:rsidR="00443B7C">
        <w:rPr>
          <w:rFonts w:hAnsi="Times New Roman" w:cs="Times New Roman"/>
        </w:rPr>
        <w:t>works, and especially</w:t>
      </w:r>
      <w:r w:rsidR="009141FC">
        <w:rPr>
          <w:rFonts w:hAnsi="Times New Roman" w:cs="Times New Roman"/>
        </w:rPr>
        <w:t xml:space="preserve"> by</w:t>
      </w:r>
      <w:r w:rsidR="00443B7C">
        <w:rPr>
          <w:rFonts w:hAnsi="Times New Roman" w:cs="Times New Roman"/>
        </w:rPr>
        <w:t xml:space="preserve"> the new southern building as a result of its excessive height and footprint proximity to the heritage elements.</w:t>
      </w:r>
      <w:r w:rsidRPr="00361713">
        <w:rPr>
          <w:rFonts w:hAnsi="Times New Roman" w:cs="Times New Roman"/>
        </w:rPr>
        <w:t xml:space="preserve"> </w:t>
      </w:r>
      <w:r w:rsidR="00AC3F23" w:rsidRPr="00361713">
        <w:rPr>
          <w:rFonts w:hAnsi="Times New Roman" w:cs="Times New Roman"/>
        </w:rPr>
        <w:t>While built form density and closeness between buildings is a</w:t>
      </w:r>
      <w:r w:rsidR="00314538">
        <w:rPr>
          <w:rFonts w:hAnsi="Times New Roman" w:cs="Times New Roman"/>
        </w:rPr>
        <w:t xml:space="preserve">n historic </w:t>
      </w:r>
      <w:r w:rsidR="00AC3F23" w:rsidRPr="00361713">
        <w:rPr>
          <w:rFonts w:hAnsi="Times New Roman" w:cs="Times New Roman"/>
        </w:rPr>
        <w:t xml:space="preserve">characteristic of the industrial complex at the Place, the new southern building </w:t>
      </w:r>
      <w:r w:rsidR="00E20131">
        <w:rPr>
          <w:rFonts w:hAnsi="Times New Roman" w:cs="Times New Roman"/>
        </w:rPr>
        <w:t xml:space="preserve">not only </w:t>
      </w:r>
      <w:r w:rsidR="00DF38CD">
        <w:rPr>
          <w:rFonts w:hAnsi="Times New Roman" w:cs="Times New Roman"/>
        </w:rPr>
        <w:t>necessitates the removal of part of building</w:t>
      </w:r>
      <w:r w:rsidR="00E20131">
        <w:rPr>
          <w:rFonts w:hAnsi="Times New Roman" w:cs="Times New Roman"/>
        </w:rPr>
        <w:t xml:space="preserve"> B4,</w:t>
      </w:r>
      <w:r w:rsidR="00F85384">
        <w:rPr>
          <w:rFonts w:hAnsi="Times New Roman" w:cs="Times New Roman"/>
        </w:rPr>
        <w:t xml:space="preserve"> but</w:t>
      </w:r>
      <w:r w:rsidR="00E20131">
        <w:rPr>
          <w:rFonts w:hAnsi="Times New Roman" w:cs="Times New Roman"/>
        </w:rPr>
        <w:t xml:space="preserve"> </w:t>
      </w:r>
      <w:r w:rsidR="00AC3F23" w:rsidRPr="00361713">
        <w:rPr>
          <w:rFonts w:hAnsi="Times New Roman" w:cs="Times New Roman"/>
        </w:rPr>
        <w:t xml:space="preserve">would </w:t>
      </w:r>
      <w:r w:rsidR="00121BC8">
        <w:rPr>
          <w:rFonts w:hAnsi="Times New Roman" w:cs="Times New Roman"/>
        </w:rPr>
        <w:t xml:space="preserve">also </w:t>
      </w:r>
      <w:r w:rsidR="00AC3F23" w:rsidRPr="00361713">
        <w:rPr>
          <w:rFonts w:hAnsi="Times New Roman" w:cs="Times New Roman"/>
        </w:rPr>
        <w:t xml:space="preserve">intrude unacceptably on the setting for </w:t>
      </w:r>
      <w:r w:rsidR="00DF38CD">
        <w:rPr>
          <w:rFonts w:hAnsi="Times New Roman" w:cs="Times New Roman"/>
        </w:rPr>
        <w:t>the remaining part of</w:t>
      </w:r>
      <w:r w:rsidR="00AC3F23" w:rsidRPr="00361713">
        <w:rPr>
          <w:rFonts w:hAnsi="Times New Roman" w:cs="Times New Roman"/>
        </w:rPr>
        <w:t xml:space="preserve"> B4 and</w:t>
      </w:r>
      <w:r w:rsidR="00121BC8">
        <w:rPr>
          <w:rFonts w:hAnsi="Times New Roman" w:cs="Times New Roman"/>
        </w:rPr>
        <w:t xml:space="preserve"> building</w:t>
      </w:r>
      <w:r w:rsidR="00AC3F23" w:rsidRPr="00361713">
        <w:rPr>
          <w:rFonts w:hAnsi="Times New Roman" w:cs="Times New Roman"/>
        </w:rPr>
        <w:t xml:space="preserve"> B5.</w:t>
      </w:r>
      <w:r w:rsidR="002A3A47">
        <w:rPr>
          <w:rFonts w:hAnsi="Times New Roman" w:cs="Times New Roman"/>
        </w:rPr>
        <w:t xml:space="preserve"> In relation to the impact of the new southern building on the setting of B4</w:t>
      </w:r>
      <w:r w:rsidR="00314538">
        <w:rPr>
          <w:rFonts w:hAnsi="Times New Roman" w:cs="Times New Roman"/>
        </w:rPr>
        <w:t xml:space="preserve"> we agree with Mr Trethowan’s view that the new southern building inappropriately extends across the </w:t>
      </w:r>
      <w:r w:rsidR="00B22666">
        <w:rPr>
          <w:rFonts w:hAnsi="Times New Roman" w:cs="Times New Roman"/>
        </w:rPr>
        <w:t>rear</w:t>
      </w:r>
      <w:r w:rsidR="00F4355B">
        <w:rPr>
          <w:rFonts w:hAnsi="Times New Roman" w:cs="Times New Roman"/>
        </w:rPr>
        <w:t xml:space="preserve"> </w:t>
      </w:r>
      <w:r w:rsidR="00314538">
        <w:rPr>
          <w:rFonts w:hAnsi="Times New Roman" w:cs="Times New Roman"/>
        </w:rPr>
        <w:t xml:space="preserve">of </w:t>
      </w:r>
      <w:r w:rsidR="00F4355B">
        <w:rPr>
          <w:rFonts w:hAnsi="Times New Roman" w:cs="Times New Roman"/>
        </w:rPr>
        <w:t xml:space="preserve">existing </w:t>
      </w:r>
      <w:r w:rsidR="00314538">
        <w:rPr>
          <w:rFonts w:hAnsi="Times New Roman" w:cs="Times New Roman"/>
        </w:rPr>
        <w:t>building B4</w:t>
      </w:r>
      <w:r w:rsidR="00C11AA9">
        <w:rPr>
          <w:rFonts w:hAnsi="Times New Roman" w:cs="Times New Roman"/>
        </w:rPr>
        <w:t>. The amended plans show that, after demolition, the new building</w:t>
      </w:r>
      <w:r w:rsidR="00880B33">
        <w:rPr>
          <w:rFonts w:hAnsi="Times New Roman" w:cs="Times New Roman"/>
        </w:rPr>
        <w:t xml:space="preserve"> would be situated only </w:t>
      </w:r>
      <w:r w:rsidR="005E7247">
        <w:rPr>
          <w:rFonts w:hAnsi="Times New Roman" w:cs="Times New Roman"/>
        </w:rPr>
        <w:t>3.</w:t>
      </w:r>
      <w:r w:rsidR="00F4355B">
        <w:rPr>
          <w:rFonts w:hAnsi="Times New Roman" w:cs="Times New Roman"/>
        </w:rPr>
        <w:t xml:space="preserve">7 </w:t>
      </w:r>
      <w:r w:rsidR="00880B33">
        <w:rPr>
          <w:rFonts w:hAnsi="Times New Roman" w:cs="Times New Roman"/>
        </w:rPr>
        <w:t>metres</w:t>
      </w:r>
      <w:r w:rsidR="00F4355B">
        <w:rPr>
          <w:rFonts w:hAnsi="Times New Roman" w:cs="Times New Roman"/>
        </w:rPr>
        <w:t>, in plan view,</w:t>
      </w:r>
      <w:r w:rsidR="00880B33">
        <w:rPr>
          <w:rFonts w:hAnsi="Times New Roman" w:cs="Times New Roman"/>
        </w:rPr>
        <w:t xml:space="preserve"> from</w:t>
      </w:r>
      <w:r w:rsidR="00F4355B">
        <w:rPr>
          <w:rFonts w:hAnsi="Times New Roman" w:cs="Times New Roman"/>
        </w:rPr>
        <w:t xml:space="preserve"> the south</w:t>
      </w:r>
      <w:r w:rsidR="008D4B15">
        <w:rPr>
          <w:rFonts w:hAnsi="Times New Roman" w:cs="Times New Roman"/>
        </w:rPr>
        <w:t>-east</w:t>
      </w:r>
      <w:r w:rsidR="00F4355B">
        <w:rPr>
          <w:rFonts w:hAnsi="Times New Roman" w:cs="Times New Roman"/>
        </w:rPr>
        <w:t xml:space="preserve"> corner of the </w:t>
      </w:r>
      <w:r w:rsidR="002B29BE">
        <w:rPr>
          <w:rFonts w:hAnsi="Times New Roman" w:cs="Times New Roman"/>
        </w:rPr>
        <w:t>remaining part of</w:t>
      </w:r>
      <w:r w:rsidR="00880B33">
        <w:rPr>
          <w:rFonts w:hAnsi="Times New Roman" w:cs="Times New Roman"/>
        </w:rPr>
        <w:t xml:space="preserve"> building </w:t>
      </w:r>
      <w:r w:rsidR="00D967FC">
        <w:rPr>
          <w:rFonts w:hAnsi="Times New Roman" w:cs="Times New Roman"/>
        </w:rPr>
        <w:t xml:space="preserve">B4 </w:t>
      </w:r>
      <w:r w:rsidR="00880B33">
        <w:rPr>
          <w:rFonts w:hAnsi="Times New Roman" w:cs="Times New Roman"/>
        </w:rPr>
        <w:t>at its closest point.</w:t>
      </w:r>
      <w:r w:rsidR="00AF7DC0">
        <w:rPr>
          <w:rFonts w:hAnsi="Times New Roman" w:cs="Times New Roman"/>
        </w:rPr>
        <w:t xml:space="preserve"> This is where level 3 overhangs the floors beneath.</w:t>
      </w:r>
      <w:r w:rsidR="00AC3F23" w:rsidRPr="00361713">
        <w:rPr>
          <w:rFonts w:hAnsi="Times New Roman" w:cs="Times New Roman"/>
        </w:rPr>
        <w:t xml:space="preserve"> </w:t>
      </w:r>
      <w:r w:rsidR="00BF2825">
        <w:rPr>
          <w:rFonts w:hAnsi="Times New Roman" w:cs="Times New Roman"/>
        </w:rPr>
        <w:t xml:space="preserve">In the Committee’s view, the new building would </w:t>
      </w:r>
      <w:r w:rsidR="0011021B">
        <w:rPr>
          <w:rFonts w:hAnsi="Times New Roman" w:cs="Times New Roman"/>
        </w:rPr>
        <w:t>unacceptably</w:t>
      </w:r>
      <w:r w:rsidR="00BF2825">
        <w:rPr>
          <w:rFonts w:hAnsi="Times New Roman" w:cs="Times New Roman"/>
        </w:rPr>
        <w:t xml:space="preserve"> crowd building B4 and overwhelm it in terms of scale and mass</w:t>
      </w:r>
      <w:r w:rsidR="00672C98">
        <w:rPr>
          <w:rFonts w:hAnsi="Times New Roman" w:cs="Times New Roman"/>
        </w:rPr>
        <w:t>, and this would be accentuated by the overhang</w:t>
      </w:r>
      <w:r w:rsidR="00BF2825">
        <w:rPr>
          <w:rFonts w:hAnsi="Times New Roman" w:cs="Times New Roman"/>
        </w:rPr>
        <w:t>. It would also similarly affect the adjoining low rise industrial buildings</w:t>
      </w:r>
      <w:r w:rsidR="00923B1C">
        <w:rPr>
          <w:rFonts w:hAnsi="Times New Roman" w:cs="Times New Roman"/>
        </w:rPr>
        <w:t xml:space="preserve"> and their setting</w:t>
      </w:r>
      <w:r w:rsidR="00BF2825">
        <w:rPr>
          <w:rFonts w:hAnsi="Times New Roman" w:cs="Times New Roman"/>
        </w:rPr>
        <w:t>.</w:t>
      </w:r>
    </w:p>
    <w:p w14:paraId="3C257B27" w14:textId="77777777" w:rsidR="006852BE" w:rsidRPr="0075576C" w:rsidRDefault="000F66BF" w:rsidP="0075576C">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Committee </w:t>
      </w:r>
      <w:r w:rsidR="00880B33">
        <w:rPr>
          <w:rFonts w:hAnsi="Times New Roman" w:cs="Times New Roman"/>
        </w:rPr>
        <w:t xml:space="preserve">records that it </w:t>
      </w:r>
      <w:r w:rsidRPr="00361713">
        <w:rPr>
          <w:rFonts w:hAnsi="Times New Roman" w:cs="Times New Roman"/>
        </w:rPr>
        <w:t xml:space="preserve">has not formed </w:t>
      </w:r>
      <w:r w:rsidR="00055613" w:rsidRPr="00361713">
        <w:rPr>
          <w:rFonts w:hAnsi="Times New Roman" w:cs="Times New Roman"/>
        </w:rPr>
        <w:t xml:space="preserve">a view as to the architectural or design merits of the proposed </w:t>
      </w:r>
      <w:r w:rsidR="00842764" w:rsidRPr="00361713">
        <w:rPr>
          <w:rFonts w:hAnsi="Times New Roman" w:cs="Times New Roman"/>
        </w:rPr>
        <w:t>new works</w:t>
      </w:r>
      <w:r w:rsidR="00055613" w:rsidRPr="00361713">
        <w:rPr>
          <w:rFonts w:hAnsi="Times New Roman" w:cs="Times New Roman"/>
        </w:rPr>
        <w:t xml:space="preserve">, nor has the Committee come to </w:t>
      </w:r>
      <w:r w:rsidRPr="00361713">
        <w:rPr>
          <w:rFonts w:hAnsi="Times New Roman" w:cs="Times New Roman"/>
        </w:rPr>
        <w:t xml:space="preserve">a specific view as to </w:t>
      </w:r>
      <w:r w:rsidR="00B36076" w:rsidRPr="00361713">
        <w:rPr>
          <w:rFonts w:hAnsi="Times New Roman" w:cs="Times New Roman"/>
        </w:rPr>
        <w:t>what would be the</w:t>
      </w:r>
      <w:r w:rsidRPr="00361713">
        <w:rPr>
          <w:rFonts w:hAnsi="Times New Roman" w:cs="Times New Roman"/>
        </w:rPr>
        <w:t xml:space="preserve"> appropriate height</w:t>
      </w:r>
      <w:r w:rsidR="00B36076" w:rsidRPr="00361713">
        <w:rPr>
          <w:rFonts w:hAnsi="Times New Roman" w:cs="Times New Roman"/>
        </w:rPr>
        <w:t>, form, scale or massing of a proposa</w:t>
      </w:r>
      <w:r w:rsidR="008B49E2" w:rsidRPr="00361713">
        <w:rPr>
          <w:rFonts w:hAnsi="Times New Roman" w:cs="Times New Roman"/>
        </w:rPr>
        <w:t>l for development at the Place</w:t>
      </w:r>
      <w:r w:rsidR="00842764" w:rsidRPr="00361713">
        <w:rPr>
          <w:rFonts w:hAnsi="Times New Roman" w:cs="Times New Roman"/>
        </w:rPr>
        <w:t>. R</w:t>
      </w:r>
      <w:r w:rsidR="008B49E2" w:rsidRPr="00361713">
        <w:rPr>
          <w:rFonts w:hAnsi="Times New Roman" w:cs="Times New Roman"/>
        </w:rPr>
        <w:t>ather the Committee has formed the view that the works</w:t>
      </w:r>
      <w:r w:rsidR="00842764" w:rsidRPr="00361713">
        <w:rPr>
          <w:rFonts w:hAnsi="Times New Roman" w:cs="Times New Roman"/>
        </w:rPr>
        <w:t xml:space="preserve"> as currently proposed</w:t>
      </w:r>
      <w:r w:rsidR="00361713">
        <w:rPr>
          <w:rFonts w:hAnsi="Times New Roman" w:cs="Times New Roman"/>
        </w:rPr>
        <w:t xml:space="preserve"> </w:t>
      </w:r>
      <w:r w:rsidR="008B49E2" w:rsidRPr="00361713">
        <w:rPr>
          <w:rFonts w:hAnsi="Times New Roman" w:cs="Times New Roman"/>
        </w:rPr>
        <w:t xml:space="preserve">would have a detrimental impact on the </w:t>
      </w:r>
      <w:r w:rsidR="00B43DF1" w:rsidRPr="00361713">
        <w:rPr>
          <w:rFonts w:hAnsi="Times New Roman" w:cs="Times New Roman"/>
        </w:rPr>
        <w:t xml:space="preserve">cultural heritage </w:t>
      </w:r>
      <w:r w:rsidR="00F857FC" w:rsidRPr="00361713">
        <w:rPr>
          <w:rFonts w:hAnsi="Times New Roman" w:cs="Times New Roman"/>
        </w:rPr>
        <w:t>significance</w:t>
      </w:r>
      <w:r w:rsidR="00B43DF1" w:rsidRPr="00361713">
        <w:rPr>
          <w:rFonts w:hAnsi="Times New Roman" w:cs="Times New Roman"/>
        </w:rPr>
        <w:t xml:space="preserve"> of the </w:t>
      </w:r>
      <w:r w:rsidR="008B49E2" w:rsidRPr="00361713">
        <w:rPr>
          <w:rFonts w:hAnsi="Times New Roman" w:cs="Times New Roman"/>
        </w:rPr>
        <w:t>Place as a whole.</w:t>
      </w:r>
      <w:r w:rsidR="00005531">
        <w:rPr>
          <w:rFonts w:hAnsi="Times New Roman" w:cs="Times New Roman"/>
        </w:rPr>
        <w:t xml:space="preserve"> </w:t>
      </w:r>
    </w:p>
    <w:p w14:paraId="04F26E20" w14:textId="77777777" w:rsidR="00361713" w:rsidRDefault="00005531" w:rsidP="001971C2">
      <w:pPr>
        <w:pStyle w:val="Para1"/>
        <w:numPr>
          <w:ilvl w:val="0"/>
          <w:numId w:val="8"/>
        </w:numPr>
        <w:spacing w:line="240" w:lineRule="auto"/>
        <w:ind w:left="567" w:hanging="567"/>
        <w:rPr>
          <w:rFonts w:hAnsi="Times New Roman" w:cs="Times New Roman"/>
        </w:rPr>
      </w:pPr>
      <w:r>
        <w:rPr>
          <w:rFonts w:hAnsi="Times New Roman" w:cs="Times New Roman"/>
        </w:rPr>
        <w:t>It is also</w:t>
      </w:r>
      <w:r w:rsidRPr="00005531">
        <w:rPr>
          <w:rFonts w:hAnsi="Times New Roman" w:cs="Times New Roman"/>
        </w:rPr>
        <w:t xml:space="preserve"> </w:t>
      </w:r>
      <w:r w:rsidRPr="00361713">
        <w:rPr>
          <w:rFonts w:hAnsi="Times New Roman" w:cs="Times New Roman"/>
        </w:rPr>
        <w:t>acknowledged that some parts of the fabric at the Place are</w:t>
      </w:r>
      <w:r w:rsidR="00F33DE6">
        <w:rPr>
          <w:rFonts w:hAnsi="Times New Roman" w:cs="Times New Roman"/>
        </w:rPr>
        <w:t xml:space="preserve"> in a deteriorated </w:t>
      </w:r>
      <w:r w:rsidRPr="00361713">
        <w:rPr>
          <w:rFonts w:hAnsi="Times New Roman" w:cs="Times New Roman"/>
        </w:rPr>
        <w:t>condition, but the Committee is of the view that the iconic industrial qualities of the Place are not diminished by the current state of extant fabric</w:t>
      </w:r>
      <w:r w:rsidR="006852BE">
        <w:rPr>
          <w:rFonts w:hAnsi="Times New Roman" w:cs="Times New Roman"/>
        </w:rPr>
        <w:t>.</w:t>
      </w:r>
    </w:p>
    <w:p w14:paraId="637764C4" w14:textId="77777777" w:rsidR="00361713" w:rsidRDefault="001A326B"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w:t>
      </w:r>
      <w:r w:rsidR="00D14462" w:rsidRPr="00361713">
        <w:rPr>
          <w:rFonts w:hAnsi="Times New Roman" w:cs="Times New Roman"/>
        </w:rPr>
        <w:t>Committee</w:t>
      </w:r>
      <w:r w:rsidRPr="00361713">
        <w:rPr>
          <w:rFonts w:hAnsi="Times New Roman" w:cs="Times New Roman"/>
        </w:rPr>
        <w:t xml:space="preserve"> </w:t>
      </w:r>
      <w:r w:rsidR="00BF2825">
        <w:rPr>
          <w:rFonts w:hAnsi="Times New Roman" w:cs="Times New Roman"/>
        </w:rPr>
        <w:t xml:space="preserve">accordingly </w:t>
      </w:r>
      <w:r w:rsidRPr="00361713">
        <w:rPr>
          <w:rFonts w:hAnsi="Times New Roman" w:cs="Times New Roman"/>
        </w:rPr>
        <w:t>finds</w:t>
      </w:r>
      <w:r w:rsidR="00D14462" w:rsidRPr="00361713">
        <w:rPr>
          <w:rFonts w:hAnsi="Times New Roman" w:cs="Times New Roman"/>
        </w:rPr>
        <w:t xml:space="preserve"> that </w:t>
      </w:r>
      <w:r w:rsidR="00701DF7" w:rsidRPr="00361713">
        <w:rPr>
          <w:rFonts w:hAnsi="Times New Roman" w:cs="Times New Roman"/>
        </w:rPr>
        <w:t>the proposed works would</w:t>
      </w:r>
      <w:r w:rsidR="00D14462" w:rsidRPr="00361713">
        <w:rPr>
          <w:rFonts w:hAnsi="Times New Roman" w:cs="Times New Roman"/>
        </w:rPr>
        <w:t xml:space="preserve"> </w:t>
      </w:r>
      <w:r w:rsidR="00701DF7" w:rsidRPr="00361713">
        <w:rPr>
          <w:rFonts w:hAnsi="Times New Roman" w:cs="Times New Roman"/>
        </w:rPr>
        <w:t xml:space="preserve">have a </w:t>
      </w:r>
      <w:r w:rsidR="00002107" w:rsidRPr="00361713">
        <w:rPr>
          <w:rFonts w:hAnsi="Times New Roman" w:cs="Times New Roman"/>
        </w:rPr>
        <w:t>detrimental</w:t>
      </w:r>
      <w:r w:rsidR="00701DF7" w:rsidRPr="00361713">
        <w:rPr>
          <w:rFonts w:hAnsi="Times New Roman" w:cs="Times New Roman"/>
        </w:rPr>
        <w:t xml:space="preserve"> </w:t>
      </w:r>
      <w:r w:rsidR="00002107" w:rsidRPr="00361713">
        <w:rPr>
          <w:rFonts w:hAnsi="Times New Roman" w:cs="Times New Roman"/>
        </w:rPr>
        <w:t>impact</w:t>
      </w:r>
      <w:r w:rsidR="00701DF7" w:rsidRPr="00361713">
        <w:rPr>
          <w:rFonts w:hAnsi="Times New Roman" w:cs="Times New Roman"/>
        </w:rPr>
        <w:t xml:space="preserve"> on the </w:t>
      </w:r>
      <w:r w:rsidR="00BF2825">
        <w:rPr>
          <w:rFonts w:hAnsi="Times New Roman" w:cs="Times New Roman"/>
        </w:rPr>
        <w:t>cultural heritage</w:t>
      </w:r>
      <w:r w:rsidR="00701DF7" w:rsidRPr="00361713">
        <w:rPr>
          <w:rFonts w:hAnsi="Times New Roman" w:cs="Times New Roman"/>
        </w:rPr>
        <w:t xml:space="preserve"> s</w:t>
      </w:r>
      <w:r w:rsidRPr="00361713">
        <w:rPr>
          <w:rFonts w:hAnsi="Times New Roman" w:cs="Times New Roman"/>
        </w:rPr>
        <w:t>ignificance of the Place</w:t>
      </w:r>
      <w:r w:rsidR="008C3A93" w:rsidRPr="00361713">
        <w:rPr>
          <w:rFonts w:hAnsi="Times New Roman" w:cs="Times New Roman"/>
        </w:rPr>
        <w:t>.</w:t>
      </w:r>
      <w:r w:rsidR="00FB24FC" w:rsidRPr="00361713">
        <w:rPr>
          <w:rFonts w:hAnsi="Times New Roman" w:cs="Times New Roman"/>
        </w:rPr>
        <w:t xml:space="preserve"> </w:t>
      </w:r>
    </w:p>
    <w:p w14:paraId="7661944F" w14:textId="77777777" w:rsidR="00876A84" w:rsidRPr="00361713" w:rsidRDefault="002A79FB" w:rsidP="001971C2">
      <w:pPr>
        <w:pStyle w:val="Para1"/>
        <w:numPr>
          <w:ilvl w:val="0"/>
          <w:numId w:val="8"/>
        </w:numPr>
        <w:spacing w:line="240" w:lineRule="auto"/>
        <w:ind w:left="567" w:hanging="567"/>
        <w:rPr>
          <w:rFonts w:hAnsi="Times New Roman" w:cs="Times New Roman"/>
        </w:rPr>
      </w:pPr>
      <w:r w:rsidRPr="00361713">
        <w:rPr>
          <w:rFonts w:hAnsi="Times New Roman" w:cs="Times New Roman"/>
        </w:rPr>
        <w:t xml:space="preserve">The Committee </w:t>
      </w:r>
      <w:r w:rsidR="00880B33">
        <w:rPr>
          <w:rFonts w:hAnsi="Times New Roman" w:cs="Times New Roman"/>
        </w:rPr>
        <w:t xml:space="preserve">concurs with the view of </w:t>
      </w:r>
      <w:r w:rsidRPr="00361713">
        <w:rPr>
          <w:rFonts w:hAnsi="Times New Roman" w:cs="Times New Roman"/>
        </w:rPr>
        <w:t>the Executive Director</w:t>
      </w:r>
      <w:r w:rsidR="001A326B" w:rsidRPr="00361713">
        <w:rPr>
          <w:rFonts w:hAnsi="Times New Roman" w:cs="Times New Roman"/>
        </w:rPr>
        <w:t xml:space="preserve"> and determines</w:t>
      </w:r>
      <w:r w:rsidRPr="00361713">
        <w:rPr>
          <w:rFonts w:hAnsi="Times New Roman" w:cs="Times New Roman"/>
        </w:rPr>
        <w:t xml:space="preserve"> that </w:t>
      </w:r>
      <w:r w:rsidR="00D40796" w:rsidRPr="00361713">
        <w:rPr>
          <w:rFonts w:hAnsi="Times New Roman" w:cs="Times New Roman"/>
        </w:rPr>
        <w:t xml:space="preserve">a permit for </w:t>
      </w:r>
      <w:r w:rsidR="00B42464" w:rsidRPr="00361713">
        <w:rPr>
          <w:rFonts w:hAnsi="Times New Roman" w:cs="Times New Roman"/>
        </w:rPr>
        <w:t xml:space="preserve">the </w:t>
      </w:r>
      <w:r w:rsidR="00D40796" w:rsidRPr="00361713">
        <w:rPr>
          <w:rFonts w:hAnsi="Times New Roman" w:cs="Times New Roman"/>
        </w:rPr>
        <w:t>p</w:t>
      </w:r>
      <w:r w:rsidR="00F310BB" w:rsidRPr="00361713">
        <w:rPr>
          <w:rFonts w:hAnsi="Times New Roman" w:cs="Times New Roman"/>
        </w:rPr>
        <w:t>roposed works should be refused</w:t>
      </w:r>
      <w:r w:rsidR="00842764" w:rsidRPr="00361713">
        <w:rPr>
          <w:rFonts w:hAnsi="Times New Roman" w:cs="Times New Roman"/>
        </w:rPr>
        <w:t xml:space="preserve"> on the basis </w:t>
      </w:r>
      <w:r w:rsidR="0011021B">
        <w:rPr>
          <w:rFonts w:hAnsi="Times New Roman" w:cs="Times New Roman"/>
        </w:rPr>
        <w:t>t</w:t>
      </w:r>
      <w:r w:rsidR="009141FC">
        <w:rPr>
          <w:rFonts w:hAnsi="Times New Roman" w:cs="Times New Roman"/>
        </w:rPr>
        <w:t>hat the proposed works</w:t>
      </w:r>
      <w:r w:rsidR="0011021B">
        <w:rPr>
          <w:rFonts w:hAnsi="Times New Roman" w:cs="Times New Roman"/>
        </w:rPr>
        <w:t xml:space="preserve"> would unacceptably, adversely</w:t>
      </w:r>
      <w:r w:rsidR="00842764" w:rsidRPr="00361713">
        <w:rPr>
          <w:rFonts w:hAnsi="Times New Roman" w:cs="Times New Roman"/>
        </w:rPr>
        <w:t xml:space="preserve"> </w:t>
      </w:r>
      <w:r w:rsidR="0011021B">
        <w:rPr>
          <w:rFonts w:hAnsi="Times New Roman" w:cs="Times New Roman"/>
        </w:rPr>
        <w:t>and detrimentally affect</w:t>
      </w:r>
      <w:r w:rsidR="00842764" w:rsidRPr="00361713">
        <w:rPr>
          <w:rFonts w:hAnsi="Times New Roman" w:cs="Times New Roman"/>
        </w:rPr>
        <w:t xml:space="preserve"> the cultural heritage significance of the Place.</w:t>
      </w:r>
    </w:p>
    <w:p w14:paraId="18838420" w14:textId="77777777" w:rsidR="00876A84" w:rsidRPr="00876A84" w:rsidRDefault="00876A84" w:rsidP="001D1080">
      <w:pPr>
        <w:pStyle w:val="Para1"/>
        <w:numPr>
          <w:ilvl w:val="0"/>
          <w:numId w:val="0"/>
        </w:numPr>
        <w:tabs>
          <w:tab w:val="clear" w:pos="567"/>
          <w:tab w:val="left" w:pos="0"/>
          <w:tab w:val="left" w:pos="426"/>
        </w:tabs>
        <w:spacing w:before="240" w:line="240" w:lineRule="auto"/>
        <w:rPr>
          <w:rFonts w:hAnsi="Times New Roman" w:cs="Times New Roman"/>
          <w:b/>
        </w:rPr>
      </w:pPr>
      <w:r w:rsidRPr="00876A84">
        <w:rPr>
          <w:rFonts w:hAnsi="Times New Roman" w:cs="Times New Roman"/>
          <w:b/>
        </w:rPr>
        <w:t xml:space="preserve">s.73(1)(b) the extent to which the application, if refused, would affect the reasonable or economic use of the registered </w:t>
      </w:r>
      <w:r w:rsidR="00BF2825">
        <w:rPr>
          <w:rFonts w:hAnsi="Times New Roman" w:cs="Times New Roman"/>
          <w:b/>
        </w:rPr>
        <w:t>p</w:t>
      </w:r>
      <w:r w:rsidRPr="00876A84">
        <w:rPr>
          <w:rFonts w:hAnsi="Times New Roman" w:cs="Times New Roman"/>
          <w:b/>
        </w:rPr>
        <w:t xml:space="preserve">lace, or cause undue financial hardship to the owner in relation to that </w:t>
      </w:r>
      <w:r w:rsidR="00BF2825">
        <w:rPr>
          <w:rFonts w:hAnsi="Times New Roman" w:cs="Times New Roman"/>
          <w:b/>
        </w:rPr>
        <w:t>pl</w:t>
      </w:r>
      <w:r w:rsidRPr="00876A84">
        <w:rPr>
          <w:rFonts w:hAnsi="Times New Roman" w:cs="Times New Roman"/>
          <w:b/>
        </w:rPr>
        <w:t>ace</w:t>
      </w:r>
    </w:p>
    <w:p w14:paraId="087088FC" w14:textId="77777777" w:rsidR="00B259C9" w:rsidRDefault="007F6D75" w:rsidP="0099326D">
      <w:pPr>
        <w:pStyle w:val="Para1"/>
        <w:numPr>
          <w:ilvl w:val="0"/>
          <w:numId w:val="8"/>
        </w:numPr>
        <w:spacing w:line="240" w:lineRule="auto"/>
        <w:ind w:left="567" w:hanging="567"/>
        <w:rPr>
          <w:rFonts w:hAnsi="Times New Roman" w:cs="Times New Roman"/>
        </w:rPr>
      </w:pPr>
      <w:r>
        <w:rPr>
          <w:rFonts w:hAnsi="Times New Roman" w:cs="Times New Roman"/>
        </w:rPr>
        <w:t>The Parties disagreed on what was a reasonable use of the Place, whether or not any economic impact would result from a refusal and whether undue financial hardship would be cause</w:t>
      </w:r>
      <w:r w:rsidR="008C60CC">
        <w:rPr>
          <w:rFonts w:hAnsi="Times New Roman" w:cs="Times New Roman"/>
        </w:rPr>
        <w:t>d</w:t>
      </w:r>
      <w:r>
        <w:rPr>
          <w:rFonts w:hAnsi="Times New Roman" w:cs="Times New Roman"/>
        </w:rPr>
        <w:t xml:space="preserve"> to the </w:t>
      </w:r>
      <w:r w:rsidR="00242A67">
        <w:rPr>
          <w:rFonts w:hAnsi="Times New Roman" w:cs="Times New Roman"/>
        </w:rPr>
        <w:t>Appellant</w:t>
      </w:r>
      <w:r w:rsidR="00BF2825">
        <w:rPr>
          <w:rFonts w:hAnsi="Times New Roman" w:cs="Times New Roman"/>
        </w:rPr>
        <w:t xml:space="preserve"> as the owner of the Place</w:t>
      </w:r>
      <w:r>
        <w:rPr>
          <w:rFonts w:hAnsi="Times New Roman" w:cs="Times New Roman"/>
        </w:rPr>
        <w:t xml:space="preserve">. </w:t>
      </w:r>
    </w:p>
    <w:p w14:paraId="6043D85A" w14:textId="77777777" w:rsidR="00B259C9" w:rsidRPr="00497FBF" w:rsidRDefault="00B259C9" w:rsidP="0099326D">
      <w:pPr>
        <w:pStyle w:val="Para1"/>
        <w:numPr>
          <w:ilvl w:val="0"/>
          <w:numId w:val="0"/>
        </w:numPr>
        <w:spacing w:line="240" w:lineRule="auto"/>
        <w:ind w:left="141" w:hanging="141"/>
        <w:rPr>
          <w:rFonts w:hAnsi="Times New Roman" w:cs="Times New Roman"/>
          <w:i/>
        </w:rPr>
      </w:pPr>
      <w:r w:rsidRPr="00497FBF">
        <w:rPr>
          <w:rFonts w:hAnsi="Times New Roman" w:cs="Times New Roman"/>
          <w:i/>
        </w:rPr>
        <w:t>Submissions and evidence</w:t>
      </w:r>
    </w:p>
    <w:p w14:paraId="25CFE65D" w14:textId="53CCB188" w:rsidR="00B259C9" w:rsidRDefault="00B259C9" w:rsidP="0099326D">
      <w:pPr>
        <w:pStyle w:val="Para1"/>
        <w:numPr>
          <w:ilvl w:val="0"/>
          <w:numId w:val="8"/>
        </w:numPr>
        <w:spacing w:line="240" w:lineRule="auto"/>
        <w:ind w:left="567" w:hanging="567"/>
        <w:rPr>
          <w:rFonts w:hAnsi="Times New Roman" w:cs="Times New Roman"/>
        </w:rPr>
      </w:pPr>
      <w:r>
        <w:rPr>
          <w:rFonts w:hAnsi="Times New Roman" w:cs="Times New Roman"/>
        </w:rPr>
        <w:t>The Exe</w:t>
      </w:r>
      <w:r w:rsidR="0002270D">
        <w:rPr>
          <w:rFonts w:hAnsi="Times New Roman" w:cs="Times New Roman"/>
        </w:rPr>
        <w:t>cutive Director submitted that inadequa</w:t>
      </w:r>
      <w:r w:rsidR="001A0F0F">
        <w:rPr>
          <w:rFonts w:hAnsi="Times New Roman" w:cs="Times New Roman"/>
        </w:rPr>
        <w:t>te evidence had been provided</w:t>
      </w:r>
      <w:r w:rsidR="0002270D">
        <w:rPr>
          <w:rFonts w:hAnsi="Times New Roman" w:cs="Times New Roman"/>
        </w:rPr>
        <w:t xml:space="preserve"> </w:t>
      </w:r>
      <w:r w:rsidR="00AC641E">
        <w:rPr>
          <w:rFonts w:hAnsi="Times New Roman" w:cs="Times New Roman"/>
        </w:rPr>
        <w:t xml:space="preserve">as to the extent to which a permit refusal would have an </w:t>
      </w:r>
      <w:r w:rsidR="00DB49C3">
        <w:rPr>
          <w:rFonts w:hAnsi="Times New Roman" w:cs="Times New Roman"/>
        </w:rPr>
        <w:t>effect</w:t>
      </w:r>
      <w:r w:rsidR="00AC641E">
        <w:rPr>
          <w:rFonts w:hAnsi="Times New Roman" w:cs="Times New Roman"/>
        </w:rPr>
        <w:t xml:space="preserve"> on </w:t>
      </w:r>
      <w:r w:rsidR="0002270D">
        <w:rPr>
          <w:rFonts w:hAnsi="Times New Roman" w:cs="Times New Roman"/>
        </w:rPr>
        <w:t xml:space="preserve">the reasonable or economic use of the Place, </w:t>
      </w:r>
      <w:r w:rsidR="00880B33">
        <w:rPr>
          <w:rFonts w:hAnsi="Times New Roman" w:cs="Times New Roman"/>
        </w:rPr>
        <w:t>and in relation to</w:t>
      </w:r>
      <w:r w:rsidR="0002270D">
        <w:rPr>
          <w:rFonts w:hAnsi="Times New Roman" w:cs="Times New Roman"/>
        </w:rPr>
        <w:t xml:space="preserve"> the</w:t>
      </w:r>
      <w:r w:rsidR="00AC641E">
        <w:rPr>
          <w:rFonts w:hAnsi="Times New Roman" w:cs="Times New Roman"/>
        </w:rPr>
        <w:t xml:space="preserve"> extent to which </w:t>
      </w:r>
      <w:r w:rsidR="008C60CC">
        <w:rPr>
          <w:rFonts w:hAnsi="Times New Roman" w:cs="Times New Roman"/>
        </w:rPr>
        <w:t>the Appellant</w:t>
      </w:r>
      <w:r w:rsidR="0002270D">
        <w:rPr>
          <w:rFonts w:hAnsi="Times New Roman" w:cs="Times New Roman"/>
        </w:rPr>
        <w:t xml:space="preserve"> </w:t>
      </w:r>
      <w:r w:rsidR="00880B33">
        <w:rPr>
          <w:rFonts w:hAnsi="Times New Roman" w:cs="Times New Roman"/>
        </w:rPr>
        <w:t xml:space="preserve">as owner </w:t>
      </w:r>
      <w:r w:rsidR="0002270D">
        <w:rPr>
          <w:rFonts w:hAnsi="Times New Roman" w:cs="Times New Roman"/>
        </w:rPr>
        <w:t xml:space="preserve">would be </w:t>
      </w:r>
      <w:r w:rsidR="008C60CC">
        <w:rPr>
          <w:rFonts w:hAnsi="Times New Roman" w:cs="Times New Roman"/>
        </w:rPr>
        <w:t>caused undue financial hardship</w:t>
      </w:r>
      <w:r w:rsidR="00242A67">
        <w:rPr>
          <w:rFonts w:hAnsi="Times New Roman" w:cs="Times New Roman"/>
        </w:rPr>
        <w:t xml:space="preserve"> if a permit was refused</w:t>
      </w:r>
      <w:r w:rsidR="0021254E">
        <w:rPr>
          <w:rFonts w:hAnsi="Times New Roman" w:cs="Times New Roman"/>
        </w:rPr>
        <w:t xml:space="preserve">.  </w:t>
      </w:r>
      <w:r>
        <w:rPr>
          <w:rFonts w:hAnsi="Times New Roman" w:cs="Times New Roman"/>
        </w:rPr>
        <w:t xml:space="preserve"> </w:t>
      </w:r>
    </w:p>
    <w:p w14:paraId="33C54651" w14:textId="77777777" w:rsidR="00B259C9" w:rsidRDefault="00DD0EF5" w:rsidP="0099326D">
      <w:pPr>
        <w:pStyle w:val="Para1"/>
        <w:numPr>
          <w:ilvl w:val="0"/>
          <w:numId w:val="8"/>
        </w:numPr>
        <w:spacing w:line="240" w:lineRule="auto"/>
        <w:ind w:left="567" w:hanging="567"/>
        <w:rPr>
          <w:rFonts w:hAnsi="Times New Roman" w:cs="Times New Roman"/>
        </w:rPr>
      </w:pPr>
      <w:r>
        <w:rPr>
          <w:rFonts w:hAnsi="Times New Roman" w:cs="Times New Roman"/>
        </w:rPr>
        <w:t>Yarra</w:t>
      </w:r>
      <w:r w:rsidR="00001A63">
        <w:rPr>
          <w:rFonts w:hAnsi="Times New Roman" w:cs="Times New Roman"/>
        </w:rPr>
        <w:t xml:space="preserve"> submitted </w:t>
      </w:r>
      <w:r w:rsidR="00576A86">
        <w:rPr>
          <w:rFonts w:hAnsi="Times New Roman" w:cs="Times New Roman"/>
        </w:rPr>
        <w:t xml:space="preserve">that evidence </w:t>
      </w:r>
      <w:r w:rsidR="00EF3B11">
        <w:rPr>
          <w:rFonts w:hAnsi="Times New Roman" w:cs="Times New Roman"/>
        </w:rPr>
        <w:t xml:space="preserve">that had been provided </w:t>
      </w:r>
      <w:r w:rsidR="00E92B60">
        <w:rPr>
          <w:rFonts w:hAnsi="Times New Roman" w:cs="Times New Roman"/>
        </w:rPr>
        <w:t xml:space="preserve">by the Appellant </w:t>
      </w:r>
      <w:r w:rsidR="00EF3B11">
        <w:rPr>
          <w:rFonts w:hAnsi="Times New Roman" w:cs="Times New Roman"/>
        </w:rPr>
        <w:t>as to financial hardship</w:t>
      </w:r>
      <w:r w:rsidR="00E92B60">
        <w:rPr>
          <w:rFonts w:hAnsi="Times New Roman" w:cs="Times New Roman"/>
        </w:rPr>
        <w:t xml:space="preserve"> related to the period prior to the permit refusal and</w:t>
      </w:r>
      <w:r w:rsidR="00842764">
        <w:rPr>
          <w:rFonts w:hAnsi="Times New Roman" w:cs="Times New Roman"/>
        </w:rPr>
        <w:t xml:space="preserve"> was</w:t>
      </w:r>
      <w:r w:rsidR="00E92B60">
        <w:rPr>
          <w:rFonts w:hAnsi="Times New Roman" w:cs="Times New Roman"/>
        </w:rPr>
        <w:t xml:space="preserve"> irrelevant</w:t>
      </w:r>
      <w:r w:rsidR="00326D33">
        <w:rPr>
          <w:rFonts w:hAnsi="Times New Roman" w:cs="Times New Roman"/>
        </w:rPr>
        <w:t>, and that the evidence disclose</w:t>
      </w:r>
      <w:r w:rsidR="00842764">
        <w:rPr>
          <w:rFonts w:hAnsi="Times New Roman" w:cs="Times New Roman"/>
        </w:rPr>
        <w:t>d</w:t>
      </w:r>
      <w:r w:rsidR="00326D33">
        <w:rPr>
          <w:rFonts w:hAnsi="Times New Roman" w:cs="Times New Roman"/>
        </w:rPr>
        <w:t xml:space="preserve"> no financial hardship but </w:t>
      </w:r>
      <w:r w:rsidR="00842764">
        <w:rPr>
          <w:rFonts w:hAnsi="Times New Roman" w:cs="Times New Roman"/>
        </w:rPr>
        <w:t xml:space="preserve">merely </w:t>
      </w:r>
      <w:r w:rsidR="00326D33">
        <w:rPr>
          <w:rFonts w:hAnsi="Times New Roman" w:cs="Times New Roman"/>
        </w:rPr>
        <w:t>a cost associated with development</w:t>
      </w:r>
      <w:r w:rsidR="004A5BCE">
        <w:rPr>
          <w:rFonts w:hAnsi="Times New Roman" w:cs="Times New Roman"/>
        </w:rPr>
        <w:t>.</w:t>
      </w:r>
    </w:p>
    <w:p w14:paraId="322764AC" w14:textId="77777777" w:rsidR="00DD0EF5" w:rsidRDefault="00B259C9" w:rsidP="0099326D">
      <w:pPr>
        <w:pStyle w:val="Para1"/>
        <w:numPr>
          <w:ilvl w:val="0"/>
          <w:numId w:val="8"/>
        </w:numPr>
        <w:spacing w:line="240" w:lineRule="auto"/>
        <w:ind w:left="567" w:hanging="567"/>
        <w:rPr>
          <w:rFonts w:hAnsi="Times New Roman" w:cs="Times New Roman"/>
        </w:rPr>
      </w:pPr>
      <w:r>
        <w:rPr>
          <w:rFonts w:hAnsi="Times New Roman" w:cs="Times New Roman"/>
        </w:rPr>
        <w:t>The Appellant submitted that</w:t>
      </w:r>
      <w:r w:rsidR="001C5E02">
        <w:rPr>
          <w:rFonts w:hAnsi="Times New Roman" w:cs="Times New Roman"/>
        </w:rPr>
        <w:t xml:space="preserve"> significant financial and economic consequences would be caused to it if a permit for the proposed works was </w:t>
      </w:r>
      <w:r w:rsidR="006043BA">
        <w:rPr>
          <w:rFonts w:hAnsi="Times New Roman" w:cs="Times New Roman"/>
        </w:rPr>
        <w:t>refused</w:t>
      </w:r>
      <w:r w:rsidR="00CD2211">
        <w:rPr>
          <w:rFonts w:hAnsi="Times New Roman" w:cs="Times New Roman"/>
        </w:rPr>
        <w:t>.</w:t>
      </w:r>
    </w:p>
    <w:p w14:paraId="2C4DECC2" w14:textId="284CFE40" w:rsidR="005922B9" w:rsidRPr="00ED4F55" w:rsidRDefault="00DD0EF5" w:rsidP="0099326D">
      <w:pPr>
        <w:pStyle w:val="Para1"/>
        <w:numPr>
          <w:ilvl w:val="0"/>
          <w:numId w:val="8"/>
        </w:numPr>
        <w:spacing w:line="240" w:lineRule="auto"/>
        <w:ind w:left="567" w:hanging="567"/>
        <w:rPr>
          <w:rFonts w:hAnsi="Times New Roman" w:cs="Times New Roman"/>
        </w:rPr>
      </w:pPr>
      <w:r>
        <w:rPr>
          <w:rFonts w:hAnsi="Times New Roman" w:cs="Times New Roman"/>
        </w:rPr>
        <w:t>Ms Georgia Willis,</w:t>
      </w:r>
      <w:r w:rsidR="00133063">
        <w:rPr>
          <w:rFonts w:hAnsi="Times New Roman" w:cs="Times New Roman"/>
        </w:rPr>
        <w:t xml:space="preserve"> </w:t>
      </w:r>
      <w:r w:rsidR="00456EE9">
        <w:rPr>
          <w:rFonts w:hAnsi="Times New Roman" w:cs="Times New Roman"/>
        </w:rPr>
        <w:t xml:space="preserve">the Appellant’s </w:t>
      </w:r>
      <w:r w:rsidR="00E9777C">
        <w:rPr>
          <w:rFonts w:hAnsi="Times New Roman" w:cs="Times New Roman"/>
        </w:rPr>
        <w:t xml:space="preserve">Senior </w:t>
      </w:r>
      <w:r w:rsidR="0075576C">
        <w:rPr>
          <w:rFonts w:hAnsi="Times New Roman" w:cs="Times New Roman"/>
        </w:rPr>
        <w:t>Development Manager -</w:t>
      </w:r>
      <w:r w:rsidR="00493370">
        <w:rPr>
          <w:rFonts w:hAnsi="Times New Roman" w:cs="Times New Roman"/>
        </w:rPr>
        <w:t xml:space="preserve"> </w:t>
      </w:r>
      <w:r w:rsidR="00E9777C">
        <w:rPr>
          <w:rFonts w:hAnsi="Times New Roman" w:cs="Times New Roman"/>
        </w:rPr>
        <w:t>Acquisitions</w:t>
      </w:r>
      <w:r w:rsidR="007D4522">
        <w:rPr>
          <w:rFonts w:hAnsi="Times New Roman" w:cs="Times New Roman"/>
        </w:rPr>
        <w:t>, gave</w:t>
      </w:r>
      <w:r>
        <w:rPr>
          <w:rFonts w:hAnsi="Times New Roman" w:cs="Times New Roman"/>
        </w:rPr>
        <w:t xml:space="preserve"> evidence as to </w:t>
      </w:r>
      <w:r w:rsidR="00E23F82">
        <w:rPr>
          <w:rFonts w:hAnsi="Times New Roman" w:cs="Times New Roman"/>
        </w:rPr>
        <w:t xml:space="preserve">economic use of the Place and </w:t>
      </w:r>
      <w:r w:rsidR="00BF2825">
        <w:rPr>
          <w:rFonts w:hAnsi="Times New Roman" w:cs="Times New Roman"/>
        </w:rPr>
        <w:t xml:space="preserve">stated </w:t>
      </w:r>
      <w:r w:rsidR="000F5E85">
        <w:rPr>
          <w:rFonts w:hAnsi="Times New Roman" w:cs="Times New Roman"/>
        </w:rPr>
        <w:t xml:space="preserve">that the refusal to issue a permit for the proposed works would result in undue </w:t>
      </w:r>
      <w:r w:rsidR="00E23F82">
        <w:rPr>
          <w:rFonts w:hAnsi="Times New Roman" w:cs="Times New Roman"/>
        </w:rPr>
        <w:t xml:space="preserve">financial hardship to the </w:t>
      </w:r>
      <w:r w:rsidR="00842764">
        <w:rPr>
          <w:rFonts w:hAnsi="Times New Roman" w:cs="Times New Roman"/>
        </w:rPr>
        <w:t>o</w:t>
      </w:r>
      <w:r w:rsidR="00E23F82">
        <w:rPr>
          <w:rFonts w:hAnsi="Times New Roman" w:cs="Times New Roman"/>
        </w:rPr>
        <w:t>wner</w:t>
      </w:r>
      <w:r>
        <w:rPr>
          <w:rFonts w:hAnsi="Times New Roman" w:cs="Times New Roman"/>
        </w:rPr>
        <w:t>. In response to questions pu</w:t>
      </w:r>
      <w:r w:rsidR="00E23F82">
        <w:rPr>
          <w:rFonts w:hAnsi="Times New Roman" w:cs="Times New Roman"/>
        </w:rPr>
        <w:t xml:space="preserve">t to her, Ms Willis </w:t>
      </w:r>
      <w:r w:rsidR="00842764">
        <w:rPr>
          <w:rFonts w:hAnsi="Times New Roman" w:cs="Times New Roman"/>
        </w:rPr>
        <w:t xml:space="preserve">indicated </w:t>
      </w:r>
      <w:r w:rsidR="00E23F82">
        <w:rPr>
          <w:rFonts w:hAnsi="Times New Roman" w:cs="Times New Roman"/>
        </w:rPr>
        <w:t xml:space="preserve">that </w:t>
      </w:r>
      <w:r w:rsidR="00842764">
        <w:rPr>
          <w:rFonts w:hAnsi="Times New Roman" w:cs="Times New Roman"/>
        </w:rPr>
        <w:t>only a</w:t>
      </w:r>
      <w:r w:rsidR="00681F72">
        <w:rPr>
          <w:rFonts w:hAnsi="Times New Roman" w:cs="Times New Roman"/>
        </w:rPr>
        <w:t xml:space="preserve"> proportion of the</w:t>
      </w:r>
      <w:r w:rsidR="000F5E85">
        <w:rPr>
          <w:rFonts w:hAnsi="Times New Roman" w:cs="Times New Roman"/>
        </w:rPr>
        <w:t xml:space="preserve"> total</w:t>
      </w:r>
      <w:r w:rsidR="00681F72">
        <w:rPr>
          <w:rFonts w:hAnsi="Times New Roman" w:cs="Times New Roman"/>
        </w:rPr>
        <w:t xml:space="preserve"> costs </w:t>
      </w:r>
      <w:r w:rsidR="00656A30">
        <w:rPr>
          <w:rFonts w:hAnsi="Times New Roman" w:cs="Times New Roman"/>
        </w:rPr>
        <w:t xml:space="preserve">set out </w:t>
      </w:r>
      <w:r w:rsidR="00681F72">
        <w:rPr>
          <w:rFonts w:hAnsi="Times New Roman" w:cs="Times New Roman"/>
        </w:rPr>
        <w:t>in her affidavit related to the Stage 1 area</w:t>
      </w:r>
      <w:r w:rsidR="00880B33">
        <w:rPr>
          <w:rFonts w:hAnsi="Times New Roman" w:cs="Times New Roman"/>
        </w:rPr>
        <w:t xml:space="preserve"> and proposed works.</w:t>
      </w:r>
    </w:p>
    <w:p w14:paraId="4DF90921" w14:textId="77777777" w:rsidR="001D1080" w:rsidRDefault="001D1080" w:rsidP="001D1080">
      <w:pPr>
        <w:pStyle w:val="Para1"/>
        <w:numPr>
          <w:ilvl w:val="0"/>
          <w:numId w:val="0"/>
        </w:numPr>
        <w:spacing w:line="240" w:lineRule="auto"/>
        <w:ind w:left="142" w:hanging="142"/>
        <w:rPr>
          <w:rFonts w:hAnsi="Times New Roman" w:cs="Times New Roman"/>
          <w:i/>
        </w:rPr>
      </w:pPr>
    </w:p>
    <w:p w14:paraId="65E00DFA" w14:textId="77777777" w:rsidR="001D1080" w:rsidRDefault="001D1080" w:rsidP="001D1080">
      <w:pPr>
        <w:pStyle w:val="Para1"/>
        <w:numPr>
          <w:ilvl w:val="0"/>
          <w:numId w:val="0"/>
        </w:numPr>
        <w:spacing w:line="240" w:lineRule="auto"/>
        <w:ind w:left="142" w:hanging="142"/>
        <w:rPr>
          <w:rFonts w:hAnsi="Times New Roman" w:cs="Times New Roman"/>
          <w:i/>
        </w:rPr>
      </w:pPr>
    </w:p>
    <w:p w14:paraId="448092E3" w14:textId="77777777" w:rsidR="00B259C9" w:rsidRPr="00497FBF" w:rsidRDefault="00B259C9" w:rsidP="001D1080">
      <w:pPr>
        <w:pStyle w:val="Para1"/>
        <w:numPr>
          <w:ilvl w:val="0"/>
          <w:numId w:val="0"/>
        </w:numPr>
        <w:spacing w:line="240" w:lineRule="auto"/>
        <w:ind w:left="142" w:hanging="142"/>
        <w:rPr>
          <w:rFonts w:hAnsi="Times New Roman" w:cs="Times New Roman"/>
          <w:i/>
        </w:rPr>
      </w:pPr>
      <w:r w:rsidRPr="00497FBF">
        <w:rPr>
          <w:rFonts w:hAnsi="Times New Roman" w:cs="Times New Roman"/>
          <w:i/>
        </w:rPr>
        <w:t xml:space="preserve">Discussion </w:t>
      </w:r>
    </w:p>
    <w:p w14:paraId="138FE216" w14:textId="77777777" w:rsidR="005503FD" w:rsidRDefault="00571236" w:rsidP="0099326D">
      <w:pPr>
        <w:pStyle w:val="Para1"/>
        <w:numPr>
          <w:ilvl w:val="0"/>
          <w:numId w:val="8"/>
        </w:numPr>
        <w:spacing w:line="240" w:lineRule="auto"/>
        <w:ind w:left="567" w:hanging="567"/>
        <w:rPr>
          <w:rFonts w:hAnsi="Times New Roman" w:cs="Times New Roman"/>
        </w:rPr>
      </w:pPr>
      <w:r>
        <w:rPr>
          <w:rFonts w:hAnsi="Times New Roman" w:cs="Times New Roman"/>
        </w:rPr>
        <w:t xml:space="preserve">The Committee accepts that the use of the Place </w:t>
      </w:r>
      <w:r w:rsidR="003A77FA">
        <w:rPr>
          <w:rFonts w:hAnsi="Times New Roman" w:cs="Times New Roman"/>
        </w:rPr>
        <w:t xml:space="preserve">for residential development </w:t>
      </w:r>
      <w:r w:rsidR="00932271">
        <w:rPr>
          <w:rFonts w:hAnsi="Times New Roman" w:cs="Times New Roman"/>
        </w:rPr>
        <w:t>is</w:t>
      </w:r>
      <w:r w:rsidR="003A77FA">
        <w:rPr>
          <w:rFonts w:hAnsi="Times New Roman" w:cs="Times New Roman"/>
        </w:rPr>
        <w:t xml:space="preserve"> a reasonable use of </w:t>
      </w:r>
      <w:r w:rsidR="001A660F">
        <w:rPr>
          <w:rFonts w:hAnsi="Times New Roman" w:cs="Times New Roman"/>
        </w:rPr>
        <w:t>the Place.</w:t>
      </w:r>
      <w:r w:rsidR="001D4AAE" w:rsidRPr="003A77FA">
        <w:rPr>
          <w:rFonts w:hAnsi="Times New Roman" w:cs="Times New Roman"/>
        </w:rPr>
        <w:t xml:space="preserve"> </w:t>
      </w:r>
    </w:p>
    <w:p w14:paraId="11E134BF" w14:textId="77777777" w:rsidR="000F16F5" w:rsidRPr="003A77FA" w:rsidRDefault="005503FD" w:rsidP="0099326D">
      <w:pPr>
        <w:pStyle w:val="Para1"/>
        <w:numPr>
          <w:ilvl w:val="0"/>
          <w:numId w:val="8"/>
        </w:numPr>
        <w:spacing w:line="240" w:lineRule="auto"/>
        <w:ind w:left="567" w:hanging="567"/>
        <w:rPr>
          <w:rFonts w:hAnsi="Times New Roman" w:cs="Times New Roman"/>
        </w:rPr>
      </w:pPr>
      <w:r>
        <w:rPr>
          <w:rFonts w:hAnsi="Times New Roman" w:cs="Times New Roman"/>
        </w:rPr>
        <w:t xml:space="preserve">The Committee is of the view that </w:t>
      </w:r>
      <w:r w:rsidR="00842764">
        <w:rPr>
          <w:rFonts w:hAnsi="Times New Roman" w:cs="Times New Roman"/>
        </w:rPr>
        <w:t xml:space="preserve">the limited </w:t>
      </w:r>
      <w:r>
        <w:rPr>
          <w:rFonts w:hAnsi="Times New Roman" w:cs="Times New Roman"/>
        </w:rPr>
        <w:t xml:space="preserve">evidence presented </w:t>
      </w:r>
      <w:r w:rsidR="00842764">
        <w:rPr>
          <w:rFonts w:hAnsi="Times New Roman" w:cs="Times New Roman"/>
        </w:rPr>
        <w:t>concerning</w:t>
      </w:r>
      <w:r w:rsidR="009141FC">
        <w:rPr>
          <w:rFonts w:hAnsi="Times New Roman" w:cs="Times New Roman"/>
        </w:rPr>
        <w:t xml:space="preserve"> the</w:t>
      </w:r>
      <w:r w:rsidR="00842764">
        <w:rPr>
          <w:rFonts w:hAnsi="Times New Roman" w:cs="Times New Roman"/>
        </w:rPr>
        <w:t xml:space="preserve"> </w:t>
      </w:r>
      <w:r w:rsidR="00401D96">
        <w:rPr>
          <w:rFonts w:hAnsi="Times New Roman" w:cs="Times New Roman"/>
        </w:rPr>
        <w:t>financial</w:t>
      </w:r>
      <w:r w:rsidR="00842764">
        <w:rPr>
          <w:rFonts w:hAnsi="Times New Roman" w:cs="Times New Roman"/>
        </w:rPr>
        <w:t xml:space="preserve"> impacts of a refusal in the main </w:t>
      </w:r>
      <w:r>
        <w:rPr>
          <w:rFonts w:hAnsi="Times New Roman" w:cs="Times New Roman"/>
        </w:rPr>
        <w:t>related to works and</w:t>
      </w:r>
      <w:r w:rsidR="00842764">
        <w:rPr>
          <w:rFonts w:hAnsi="Times New Roman" w:cs="Times New Roman"/>
        </w:rPr>
        <w:t xml:space="preserve"> expenditures</w:t>
      </w:r>
      <w:r>
        <w:rPr>
          <w:rFonts w:hAnsi="Times New Roman" w:cs="Times New Roman"/>
        </w:rPr>
        <w:t xml:space="preserve"> </w:t>
      </w:r>
      <w:r w:rsidR="002E24E9">
        <w:rPr>
          <w:rFonts w:hAnsi="Times New Roman" w:cs="Times New Roman"/>
        </w:rPr>
        <w:t>not</w:t>
      </w:r>
      <w:r w:rsidR="009141FC">
        <w:rPr>
          <w:rFonts w:hAnsi="Times New Roman" w:cs="Times New Roman"/>
        </w:rPr>
        <w:t xml:space="preserve"> related to the proposed works</w:t>
      </w:r>
      <w:r>
        <w:rPr>
          <w:rFonts w:hAnsi="Times New Roman" w:cs="Times New Roman"/>
        </w:rPr>
        <w:t xml:space="preserve">. </w:t>
      </w:r>
      <w:r w:rsidR="00EF3B11">
        <w:rPr>
          <w:rFonts w:hAnsi="Times New Roman" w:cs="Times New Roman"/>
        </w:rPr>
        <w:t xml:space="preserve">The </w:t>
      </w:r>
      <w:r w:rsidR="00401D96">
        <w:rPr>
          <w:rFonts w:hAnsi="Times New Roman" w:cs="Times New Roman"/>
        </w:rPr>
        <w:t xml:space="preserve">financial outlays referred to </w:t>
      </w:r>
      <w:r w:rsidR="00966991">
        <w:rPr>
          <w:rFonts w:hAnsi="Times New Roman" w:cs="Times New Roman"/>
        </w:rPr>
        <w:t xml:space="preserve">appeared to relate in large part to holding and other property costs </w:t>
      </w:r>
      <w:r w:rsidR="00656A30">
        <w:rPr>
          <w:rFonts w:hAnsi="Times New Roman" w:cs="Times New Roman"/>
        </w:rPr>
        <w:t xml:space="preserve">for the total site </w:t>
      </w:r>
      <w:r w:rsidR="00966991">
        <w:rPr>
          <w:rFonts w:hAnsi="Times New Roman" w:cs="Times New Roman"/>
        </w:rPr>
        <w:t xml:space="preserve">that should be anticipated as part of normal property </w:t>
      </w:r>
      <w:r w:rsidR="00401D96">
        <w:rPr>
          <w:rFonts w:hAnsi="Times New Roman" w:cs="Times New Roman"/>
        </w:rPr>
        <w:t xml:space="preserve">development </w:t>
      </w:r>
      <w:r w:rsidR="00880B33">
        <w:rPr>
          <w:rFonts w:hAnsi="Times New Roman" w:cs="Times New Roman"/>
        </w:rPr>
        <w:t xml:space="preserve">processes </w:t>
      </w:r>
      <w:r w:rsidR="002660D9">
        <w:rPr>
          <w:rFonts w:hAnsi="Times New Roman" w:cs="Times New Roman"/>
        </w:rPr>
        <w:t xml:space="preserve">and </w:t>
      </w:r>
      <w:r w:rsidR="00F675E3">
        <w:rPr>
          <w:rFonts w:hAnsi="Times New Roman" w:cs="Times New Roman"/>
        </w:rPr>
        <w:t>would</w:t>
      </w:r>
      <w:r w:rsidR="002660D9">
        <w:rPr>
          <w:rFonts w:hAnsi="Times New Roman" w:cs="Times New Roman"/>
        </w:rPr>
        <w:t xml:space="preserve"> not</w:t>
      </w:r>
      <w:r w:rsidR="00F675E3">
        <w:rPr>
          <w:rFonts w:hAnsi="Times New Roman" w:cs="Times New Roman"/>
        </w:rPr>
        <w:t xml:space="preserve"> be</w:t>
      </w:r>
      <w:r w:rsidR="002660D9">
        <w:rPr>
          <w:rFonts w:hAnsi="Times New Roman" w:cs="Times New Roman"/>
        </w:rPr>
        <w:t xml:space="preserve"> the result of any permit refusal</w:t>
      </w:r>
      <w:r w:rsidR="00966991">
        <w:rPr>
          <w:rFonts w:hAnsi="Times New Roman" w:cs="Times New Roman"/>
        </w:rPr>
        <w:t>.</w:t>
      </w:r>
    </w:p>
    <w:p w14:paraId="07B13332" w14:textId="77777777" w:rsidR="00B9094E" w:rsidRDefault="004A62C4" w:rsidP="0099326D">
      <w:pPr>
        <w:pStyle w:val="Para1"/>
        <w:numPr>
          <w:ilvl w:val="0"/>
          <w:numId w:val="8"/>
        </w:numPr>
        <w:spacing w:line="240" w:lineRule="auto"/>
        <w:ind w:left="567" w:hanging="567"/>
        <w:rPr>
          <w:rFonts w:hAnsi="Times New Roman" w:cs="Times New Roman"/>
        </w:rPr>
      </w:pPr>
      <w:r>
        <w:rPr>
          <w:rFonts w:hAnsi="Times New Roman" w:cs="Times New Roman"/>
        </w:rPr>
        <w:t>In relation to</w:t>
      </w:r>
      <w:r w:rsidR="001624C7">
        <w:rPr>
          <w:rFonts w:hAnsi="Times New Roman" w:cs="Times New Roman"/>
        </w:rPr>
        <w:t xml:space="preserve"> the </w:t>
      </w:r>
      <w:r w:rsidR="00401D96">
        <w:rPr>
          <w:rFonts w:hAnsi="Times New Roman" w:cs="Times New Roman"/>
        </w:rPr>
        <w:t xml:space="preserve">reasonable or </w:t>
      </w:r>
      <w:r w:rsidR="001624C7">
        <w:rPr>
          <w:rFonts w:hAnsi="Times New Roman" w:cs="Times New Roman"/>
        </w:rPr>
        <w:t>economic use of the Place, the Committee notes that no evidence was provi</w:t>
      </w:r>
      <w:r w:rsidR="00DD1D96">
        <w:rPr>
          <w:rFonts w:hAnsi="Times New Roman" w:cs="Times New Roman"/>
        </w:rPr>
        <w:t>ded to satisfy it that the long-</w:t>
      </w:r>
      <w:r w:rsidR="001624C7">
        <w:rPr>
          <w:rFonts w:hAnsi="Times New Roman" w:cs="Times New Roman"/>
        </w:rPr>
        <w:t xml:space="preserve">term </w:t>
      </w:r>
      <w:r w:rsidR="003A2565">
        <w:rPr>
          <w:rFonts w:hAnsi="Times New Roman" w:cs="Times New Roman"/>
        </w:rPr>
        <w:t>economic use</w:t>
      </w:r>
      <w:r w:rsidR="001624C7">
        <w:rPr>
          <w:rFonts w:hAnsi="Times New Roman" w:cs="Times New Roman"/>
        </w:rPr>
        <w:t xml:space="preserve"> of the Place would be affected by</w:t>
      </w:r>
      <w:r w:rsidR="006E4846">
        <w:rPr>
          <w:rFonts w:hAnsi="Times New Roman" w:cs="Times New Roman"/>
        </w:rPr>
        <w:t xml:space="preserve"> a refusal to issue a permit for the proposed works.</w:t>
      </w:r>
    </w:p>
    <w:p w14:paraId="3405B44C" w14:textId="77777777" w:rsidR="00CC5786" w:rsidRDefault="00B259C9" w:rsidP="0099326D">
      <w:pPr>
        <w:pStyle w:val="Para1"/>
        <w:numPr>
          <w:ilvl w:val="0"/>
          <w:numId w:val="8"/>
        </w:numPr>
        <w:spacing w:line="240" w:lineRule="auto"/>
        <w:ind w:left="567" w:hanging="567"/>
        <w:rPr>
          <w:rFonts w:hAnsi="Times New Roman" w:cs="Times New Roman"/>
        </w:rPr>
      </w:pPr>
      <w:r>
        <w:rPr>
          <w:rFonts w:hAnsi="Times New Roman" w:cs="Times New Roman"/>
        </w:rPr>
        <w:t>The Co</w:t>
      </w:r>
      <w:r w:rsidR="00B9094E">
        <w:rPr>
          <w:rFonts w:hAnsi="Times New Roman" w:cs="Times New Roman"/>
        </w:rPr>
        <w:t xml:space="preserve">mmittee </w:t>
      </w:r>
      <w:r w:rsidR="00880B33">
        <w:rPr>
          <w:rFonts w:hAnsi="Times New Roman" w:cs="Times New Roman"/>
        </w:rPr>
        <w:t xml:space="preserve">is not satisfied </w:t>
      </w:r>
      <w:r w:rsidR="00B9094E">
        <w:rPr>
          <w:rFonts w:hAnsi="Times New Roman" w:cs="Times New Roman"/>
        </w:rPr>
        <w:t xml:space="preserve">that the refusal to issue a permit for the proposed works </w:t>
      </w:r>
      <w:r w:rsidR="000F62BE">
        <w:rPr>
          <w:rFonts w:hAnsi="Times New Roman" w:cs="Times New Roman"/>
        </w:rPr>
        <w:t xml:space="preserve">would </w:t>
      </w:r>
      <w:r w:rsidR="00B9094E" w:rsidRPr="00B9094E">
        <w:rPr>
          <w:rFonts w:hAnsi="Times New Roman" w:cs="Times New Roman"/>
        </w:rPr>
        <w:t xml:space="preserve">affect the reasonable or economic use of the Place, </w:t>
      </w:r>
      <w:r w:rsidR="00880B33">
        <w:rPr>
          <w:rFonts w:hAnsi="Times New Roman" w:cs="Times New Roman"/>
        </w:rPr>
        <w:t xml:space="preserve">or </w:t>
      </w:r>
      <w:r w:rsidR="00B9094E" w:rsidRPr="00B9094E">
        <w:rPr>
          <w:rFonts w:hAnsi="Times New Roman" w:cs="Times New Roman"/>
        </w:rPr>
        <w:t xml:space="preserve">cause undue financial hardship to the </w:t>
      </w:r>
      <w:r w:rsidR="00913808">
        <w:rPr>
          <w:rFonts w:hAnsi="Times New Roman" w:cs="Times New Roman"/>
        </w:rPr>
        <w:t>Appellant</w:t>
      </w:r>
      <w:r w:rsidR="00880B33">
        <w:rPr>
          <w:rFonts w:hAnsi="Times New Roman" w:cs="Times New Roman"/>
        </w:rPr>
        <w:t xml:space="preserve"> as owner</w:t>
      </w:r>
      <w:r w:rsidR="007905DA">
        <w:rPr>
          <w:rFonts w:hAnsi="Times New Roman" w:cs="Times New Roman"/>
        </w:rPr>
        <w:t xml:space="preserve"> of the Place</w:t>
      </w:r>
      <w:r w:rsidR="00BF2825">
        <w:rPr>
          <w:rFonts w:hAnsi="Times New Roman" w:cs="Times New Roman"/>
        </w:rPr>
        <w:t>.</w:t>
      </w:r>
    </w:p>
    <w:p w14:paraId="59E284C0" w14:textId="77777777" w:rsidR="00BB2A2B" w:rsidRPr="00BB2A2B" w:rsidRDefault="00BB2A2B" w:rsidP="001D1080">
      <w:pPr>
        <w:pStyle w:val="Para1"/>
        <w:numPr>
          <w:ilvl w:val="0"/>
          <w:numId w:val="0"/>
        </w:numPr>
        <w:tabs>
          <w:tab w:val="left" w:pos="426"/>
        </w:tabs>
        <w:spacing w:before="240" w:line="240" w:lineRule="auto"/>
        <w:rPr>
          <w:rFonts w:hAnsi="Times New Roman" w:cs="Times New Roman"/>
          <w:u w:val="single"/>
        </w:rPr>
      </w:pPr>
      <w:r w:rsidRPr="00BB2A2B">
        <w:rPr>
          <w:rFonts w:hAnsi="Times New Roman" w:cs="Times New Roman"/>
          <w:u w:val="single"/>
        </w:rPr>
        <w:t>Discretionary considerations</w:t>
      </w:r>
    </w:p>
    <w:p w14:paraId="620B9BFB" w14:textId="77777777" w:rsidR="005067F5" w:rsidRPr="0075576C" w:rsidRDefault="00BB2A2B" w:rsidP="0075576C">
      <w:pPr>
        <w:pStyle w:val="Para1"/>
        <w:numPr>
          <w:ilvl w:val="0"/>
          <w:numId w:val="0"/>
        </w:numPr>
        <w:tabs>
          <w:tab w:val="clear" w:pos="567"/>
          <w:tab w:val="left" w:pos="0"/>
          <w:tab w:val="left" w:pos="426"/>
        </w:tabs>
        <w:rPr>
          <w:rFonts w:hAnsi="Times New Roman" w:cs="Times New Roman"/>
          <w:b/>
        </w:rPr>
      </w:pPr>
      <w:r>
        <w:rPr>
          <w:rFonts w:hAnsi="Times New Roman" w:cs="Times New Roman"/>
          <w:b/>
        </w:rPr>
        <w:t xml:space="preserve">s.73 (1A) (a) </w:t>
      </w:r>
      <w:r w:rsidRPr="00BB2A2B">
        <w:rPr>
          <w:rFonts w:hAnsi="Times New Roman" w:cs="Times New Roman"/>
          <w:b/>
        </w:rPr>
        <w:t>the extent to which the application, if approved, would aff</w:t>
      </w:r>
      <w:r>
        <w:rPr>
          <w:rFonts w:hAnsi="Times New Roman" w:cs="Times New Roman"/>
          <w:b/>
        </w:rPr>
        <w:t xml:space="preserve">ect the cultural </w:t>
      </w:r>
      <w:r w:rsidRPr="00BB2A2B">
        <w:rPr>
          <w:rFonts w:hAnsi="Times New Roman" w:cs="Times New Roman"/>
          <w:b/>
        </w:rPr>
        <w:t>heritage significance of any adjacent or</w:t>
      </w:r>
      <w:r>
        <w:rPr>
          <w:rFonts w:hAnsi="Times New Roman" w:cs="Times New Roman"/>
          <w:b/>
        </w:rPr>
        <w:t xml:space="preserve"> neighbouring property that is</w:t>
      </w:r>
      <w:r w:rsidR="00401D96">
        <w:rPr>
          <w:rFonts w:hAnsi="Times New Roman" w:cs="Times New Roman"/>
          <w:b/>
        </w:rPr>
        <w:t xml:space="preserve"> -</w:t>
      </w:r>
      <w:r>
        <w:rPr>
          <w:rFonts w:hAnsi="Times New Roman" w:cs="Times New Roman"/>
          <w:b/>
        </w:rPr>
        <w:t xml:space="preserve"> (i)</w:t>
      </w:r>
      <w:r w:rsidRPr="00BB2A2B">
        <w:rPr>
          <w:rFonts w:hAnsi="Times New Roman" w:cs="Times New Roman"/>
          <w:b/>
        </w:rPr>
        <w:t xml:space="preserve"> subject to a heritage requirement or control in t</w:t>
      </w:r>
      <w:r>
        <w:rPr>
          <w:rFonts w:hAnsi="Times New Roman" w:cs="Times New Roman"/>
          <w:b/>
        </w:rPr>
        <w:t xml:space="preserve">he relevant planning scheme; or </w:t>
      </w:r>
      <w:r w:rsidRPr="00BB2A2B">
        <w:rPr>
          <w:rFonts w:hAnsi="Times New Roman" w:cs="Times New Roman"/>
          <w:b/>
        </w:rPr>
        <w:t>(ii) included in the Heritage Register</w:t>
      </w:r>
    </w:p>
    <w:p w14:paraId="726BCB0A" w14:textId="77777777" w:rsidR="005067F5" w:rsidRPr="0075576C" w:rsidRDefault="00932B49" w:rsidP="0075576C">
      <w:pPr>
        <w:pStyle w:val="Para1"/>
        <w:numPr>
          <w:ilvl w:val="0"/>
          <w:numId w:val="8"/>
        </w:numPr>
        <w:spacing w:line="240" w:lineRule="auto"/>
        <w:ind w:left="567" w:hanging="567"/>
        <w:rPr>
          <w:rFonts w:hAnsi="Times New Roman" w:cs="Times New Roman"/>
        </w:rPr>
      </w:pPr>
      <w:r>
        <w:rPr>
          <w:rFonts w:hAnsi="Times New Roman" w:cs="Times New Roman"/>
        </w:rPr>
        <w:t xml:space="preserve">The Parties disagreed on </w:t>
      </w:r>
      <w:r w:rsidR="0090702C">
        <w:rPr>
          <w:rFonts w:hAnsi="Times New Roman" w:cs="Times New Roman"/>
        </w:rPr>
        <w:t xml:space="preserve">the question of whether or not </w:t>
      </w:r>
      <w:r>
        <w:rPr>
          <w:rFonts w:hAnsi="Times New Roman" w:cs="Times New Roman"/>
        </w:rPr>
        <w:t xml:space="preserve">the proposed works would affect the cultural heritage significance of the </w:t>
      </w:r>
      <w:r w:rsidR="004774D6">
        <w:rPr>
          <w:rFonts w:hAnsi="Times New Roman" w:cs="Times New Roman"/>
        </w:rPr>
        <w:t>Nylex Sign</w:t>
      </w:r>
      <w:r>
        <w:rPr>
          <w:rFonts w:hAnsi="Times New Roman" w:cs="Times New Roman"/>
        </w:rPr>
        <w:t xml:space="preserve">, which is located within the </w:t>
      </w:r>
      <w:r w:rsidR="00A621DF">
        <w:rPr>
          <w:rFonts w:hAnsi="Times New Roman" w:cs="Times New Roman"/>
        </w:rPr>
        <w:t>extent of registration</w:t>
      </w:r>
      <w:r>
        <w:rPr>
          <w:rFonts w:hAnsi="Times New Roman" w:cs="Times New Roman"/>
        </w:rPr>
        <w:t xml:space="preserve"> of t</w:t>
      </w:r>
      <w:r w:rsidR="00ED69CA">
        <w:rPr>
          <w:rFonts w:hAnsi="Times New Roman" w:cs="Times New Roman"/>
        </w:rPr>
        <w:t xml:space="preserve">he Place but is </w:t>
      </w:r>
      <w:r>
        <w:rPr>
          <w:rFonts w:hAnsi="Times New Roman" w:cs="Times New Roman"/>
        </w:rPr>
        <w:t xml:space="preserve">individually </w:t>
      </w:r>
      <w:r w:rsidR="002647BB">
        <w:rPr>
          <w:rFonts w:hAnsi="Times New Roman" w:cs="Times New Roman"/>
        </w:rPr>
        <w:t>included</w:t>
      </w:r>
      <w:r w:rsidR="00BF4CF6">
        <w:rPr>
          <w:rFonts w:hAnsi="Times New Roman" w:cs="Times New Roman"/>
        </w:rPr>
        <w:t xml:space="preserve"> in the Register</w:t>
      </w:r>
      <w:r w:rsidR="002647BB">
        <w:rPr>
          <w:rFonts w:hAnsi="Times New Roman" w:cs="Times New Roman"/>
        </w:rPr>
        <w:t xml:space="preserve"> as </w:t>
      </w:r>
      <w:r w:rsidR="00401D96">
        <w:rPr>
          <w:rFonts w:hAnsi="Times New Roman" w:cs="Times New Roman"/>
        </w:rPr>
        <w:t>its own</w:t>
      </w:r>
      <w:r>
        <w:rPr>
          <w:rFonts w:hAnsi="Times New Roman" w:cs="Times New Roman"/>
        </w:rPr>
        <w:t xml:space="preserve"> heritage place (H2049). </w:t>
      </w:r>
    </w:p>
    <w:p w14:paraId="2C593D30" w14:textId="77777777" w:rsidR="00932B49" w:rsidRDefault="00932B49" w:rsidP="0099326D">
      <w:pPr>
        <w:pStyle w:val="Para1"/>
        <w:numPr>
          <w:ilvl w:val="0"/>
          <w:numId w:val="0"/>
        </w:numPr>
        <w:spacing w:line="240" w:lineRule="auto"/>
        <w:ind w:left="567" w:hanging="567"/>
        <w:rPr>
          <w:rFonts w:hAnsi="Times New Roman" w:cs="Times New Roman"/>
          <w:i/>
        </w:rPr>
      </w:pPr>
      <w:r w:rsidRPr="00497FBF">
        <w:rPr>
          <w:rFonts w:hAnsi="Times New Roman" w:cs="Times New Roman"/>
          <w:i/>
        </w:rPr>
        <w:t>Submissions and evidence</w:t>
      </w:r>
    </w:p>
    <w:p w14:paraId="768D2C55" w14:textId="77777777" w:rsidR="00401D96" w:rsidRPr="00497FBF" w:rsidRDefault="00887E96" w:rsidP="0099326D">
      <w:pPr>
        <w:pStyle w:val="Para1"/>
        <w:numPr>
          <w:ilvl w:val="0"/>
          <w:numId w:val="8"/>
        </w:numPr>
        <w:tabs>
          <w:tab w:val="left" w:pos="0"/>
        </w:tabs>
        <w:spacing w:line="240" w:lineRule="auto"/>
        <w:ind w:left="567" w:hanging="567"/>
        <w:rPr>
          <w:rFonts w:hAnsi="Times New Roman" w:cs="Times New Roman"/>
          <w:i/>
        </w:rPr>
      </w:pPr>
      <w:r>
        <w:rPr>
          <w:rFonts w:hAnsi="Times New Roman" w:cs="Times New Roman"/>
        </w:rPr>
        <w:t>A</w:t>
      </w:r>
      <w:r w:rsidR="00401D96">
        <w:rPr>
          <w:rFonts w:hAnsi="Times New Roman" w:cs="Times New Roman"/>
        </w:rPr>
        <w:t xml:space="preserve">ll parties agreed that it is within the Committee’s discretion to consider the effect of the proposed works on the </w:t>
      </w:r>
      <w:r w:rsidR="004774D6">
        <w:rPr>
          <w:rFonts w:hAnsi="Times New Roman" w:cs="Times New Roman"/>
        </w:rPr>
        <w:t>Nylex Sign</w:t>
      </w:r>
      <w:r w:rsidR="00401D96">
        <w:rPr>
          <w:rFonts w:hAnsi="Times New Roman" w:cs="Times New Roman"/>
        </w:rPr>
        <w:t xml:space="preserve"> as an adjoining heritage place.</w:t>
      </w:r>
    </w:p>
    <w:p w14:paraId="20EAA72D" w14:textId="77777777" w:rsidR="00932B49" w:rsidRDefault="00932B4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The Exec</w:t>
      </w:r>
      <w:r w:rsidR="001828FF">
        <w:rPr>
          <w:rFonts w:hAnsi="Times New Roman" w:cs="Times New Roman"/>
        </w:rPr>
        <w:t xml:space="preserve">utive Director submitted that </w:t>
      </w:r>
      <w:r w:rsidR="00E8086A">
        <w:rPr>
          <w:rFonts w:hAnsi="Times New Roman" w:cs="Times New Roman"/>
        </w:rPr>
        <w:t xml:space="preserve">the proposed works would undermine the prominence </w:t>
      </w:r>
      <w:r w:rsidR="00220FB3">
        <w:rPr>
          <w:rFonts w:hAnsi="Times New Roman" w:cs="Times New Roman"/>
        </w:rPr>
        <w:t xml:space="preserve">and iconic, landmark qualities </w:t>
      </w:r>
      <w:r w:rsidR="00E8086A">
        <w:rPr>
          <w:rFonts w:hAnsi="Times New Roman" w:cs="Times New Roman"/>
        </w:rPr>
        <w:t xml:space="preserve">of the </w:t>
      </w:r>
      <w:r w:rsidR="004774D6">
        <w:rPr>
          <w:rFonts w:hAnsi="Times New Roman" w:cs="Times New Roman"/>
        </w:rPr>
        <w:t>Nylex Sign</w:t>
      </w:r>
      <w:r w:rsidR="00E1594C">
        <w:rPr>
          <w:rFonts w:hAnsi="Times New Roman" w:cs="Times New Roman"/>
        </w:rPr>
        <w:t xml:space="preserve">, </w:t>
      </w:r>
      <w:r w:rsidR="00E8086A">
        <w:rPr>
          <w:rFonts w:hAnsi="Times New Roman" w:cs="Times New Roman"/>
        </w:rPr>
        <w:t xml:space="preserve">obscure the sightlines to the </w:t>
      </w:r>
      <w:r w:rsidR="004774D6">
        <w:rPr>
          <w:rFonts w:hAnsi="Times New Roman" w:cs="Times New Roman"/>
        </w:rPr>
        <w:t>Nylex Sign</w:t>
      </w:r>
      <w:r w:rsidR="00E8086A">
        <w:rPr>
          <w:rFonts w:hAnsi="Times New Roman" w:cs="Times New Roman"/>
        </w:rPr>
        <w:t xml:space="preserve"> from certain viewpoints</w:t>
      </w:r>
      <w:r w:rsidR="00E1594C">
        <w:rPr>
          <w:rFonts w:hAnsi="Times New Roman" w:cs="Times New Roman"/>
        </w:rPr>
        <w:t xml:space="preserve"> and have a detrimental impact on its cultural heritage significance</w:t>
      </w:r>
      <w:r>
        <w:rPr>
          <w:rFonts w:hAnsi="Times New Roman" w:cs="Times New Roman"/>
        </w:rPr>
        <w:t xml:space="preserve">.   </w:t>
      </w:r>
    </w:p>
    <w:p w14:paraId="651C2B35" w14:textId="77777777" w:rsidR="00932B49" w:rsidRDefault="00FA1DE5"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Yarra submitted that the height and massing of the proposed new buildings would </w:t>
      </w:r>
      <w:r w:rsidR="0072529C">
        <w:rPr>
          <w:rFonts w:hAnsi="Times New Roman" w:cs="Times New Roman"/>
        </w:rPr>
        <w:t xml:space="preserve">detract from and </w:t>
      </w:r>
      <w:r>
        <w:rPr>
          <w:rFonts w:hAnsi="Times New Roman" w:cs="Times New Roman"/>
        </w:rPr>
        <w:t>have an unacceptable impact on the visual</w:t>
      </w:r>
      <w:r w:rsidR="00BC309C">
        <w:rPr>
          <w:rFonts w:hAnsi="Times New Roman" w:cs="Times New Roman"/>
        </w:rPr>
        <w:t xml:space="preserve"> prominence of and views to </w:t>
      </w:r>
      <w:r>
        <w:rPr>
          <w:rFonts w:hAnsi="Times New Roman" w:cs="Times New Roman"/>
        </w:rPr>
        <w:t xml:space="preserve">the </w:t>
      </w:r>
      <w:r w:rsidR="004774D6">
        <w:rPr>
          <w:rFonts w:hAnsi="Times New Roman" w:cs="Times New Roman"/>
        </w:rPr>
        <w:t>Nylex Sign</w:t>
      </w:r>
      <w:r w:rsidR="00932B49">
        <w:rPr>
          <w:rFonts w:hAnsi="Times New Roman" w:cs="Times New Roman"/>
        </w:rPr>
        <w:t>.</w:t>
      </w:r>
    </w:p>
    <w:p w14:paraId="04B2837F" w14:textId="77777777" w:rsidR="00932B49" w:rsidRDefault="00932B4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Mr Trethowan </w:t>
      </w:r>
      <w:r w:rsidR="00FA1DE5">
        <w:rPr>
          <w:rFonts w:hAnsi="Times New Roman" w:cs="Times New Roman"/>
        </w:rPr>
        <w:t>stated</w:t>
      </w:r>
      <w:r w:rsidR="00784C2A">
        <w:rPr>
          <w:rFonts w:hAnsi="Times New Roman" w:cs="Times New Roman"/>
        </w:rPr>
        <w:t xml:space="preserve"> that the proposed works would reduce the visual prominence of the </w:t>
      </w:r>
      <w:r w:rsidR="004774D6">
        <w:rPr>
          <w:rFonts w:hAnsi="Times New Roman" w:cs="Times New Roman"/>
        </w:rPr>
        <w:t>Nylex Sign</w:t>
      </w:r>
      <w:r w:rsidR="00784C2A">
        <w:rPr>
          <w:rFonts w:hAnsi="Times New Roman" w:cs="Times New Roman"/>
        </w:rPr>
        <w:t xml:space="preserve"> </w:t>
      </w:r>
      <w:r w:rsidR="00DD04E5">
        <w:rPr>
          <w:rFonts w:hAnsi="Times New Roman" w:cs="Times New Roman"/>
        </w:rPr>
        <w:t xml:space="preserve">due to the prominence of the new building </w:t>
      </w:r>
      <w:r w:rsidR="00784C2A">
        <w:rPr>
          <w:rFonts w:hAnsi="Times New Roman" w:cs="Times New Roman"/>
        </w:rPr>
        <w:t>and</w:t>
      </w:r>
      <w:r w:rsidR="00DD04E5">
        <w:rPr>
          <w:rFonts w:hAnsi="Times New Roman" w:cs="Times New Roman"/>
        </w:rPr>
        <w:t xml:space="preserve"> would</w:t>
      </w:r>
      <w:r w:rsidR="00784C2A">
        <w:rPr>
          <w:rFonts w:hAnsi="Times New Roman" w:cs="Times New Roman"/>
        </w:rPr>
        <w:t xml:space="preserve"> detrimentally affect its landmark qualit</w:t>
      </w:r>
      <w:r w:rsidR="00430F6B">
        <w:rPr>
          <w:rFonts w:hAnsi="Times New Roman" w:cs="Times New Roman"/>
        </w:rPr>
        <w:t>y</w:t>
      </w:r>
      <w:r>
        <w:rPr>
          <w:rFonts w:hAnsi="Times New Roman" w:cs="Times New Roman"/>
        </w:rPr>
        <w:t>.</w:t>
      </w:r>
      <w:r w:rsidR="00DD04E5">
        <w:rPr>
          <w:rFonts w:hAnsi="Times New Roman" w:cs="Times New Roman"/>
        </w:rPr>
        <w:t xml:space="preserve"> </w:t>
      </w:r>
    </w:p>
    <w:p w14:paraId="4F6B608C" w14:textId="77777777" w:rsidR="00932B49" w:rsidRDefault="00932B4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The Appellant submitted that</w:t>
      </w:r>
      <w:r w:rsidR="00997912">
        <w:rPr>
          <w:rFonts w:hAnsi="Times New Roman" w:cs="Times New Roman"/>
        </w:rPr>
        <w:t xml:space="preserve"> the proposed works would</w:t>
      </w:r>
      <w:r w:rsidR="0076444C">
        <w:rPr>
          <w:rFonts w:hAnsi="Times New Roman" w:cs="Times New Roman"/>
        </w:rPr>
        <w:t xml:space="preserve"> </w:t>
      </w:r>
      <w:r w:rsidR="00401D96">
        <w:rPr>
          <w:rFonts w:hAnsi="Times New Roman" w:cs="Times New Roman"/>
        </w:rPr>
        <w:t xml:space="preserve">not </w:t>
      </w:r>
      <w:r w:rsidR="0076444C">
        <w:rPr>
          <w:rFonts w:hAnsi="Times New Roman" w:cs="Times New Roman"/>
        </w:rPr>
        <w:t xml:space="preserve">have an unacceptable impact on the cultural heritage significance of the </w:t>
      </w:r>
      <w:r w:rsidR="004774D6">
        <w:rPr>
          <w:rFonts w:hAnsi="Times New Roman" w:cs="Times New Roman"/>
        </w:rPr>
        <w:t>Nylex Sign</w:t>
      </w:r>
      <w:r w:rsidR="0076444C">
        <w:rPr>
          <w:rFonts w:hAnsi="Times New Roman" w:cs="Times New Roman"/>
        </w:rPr>
        <w:t>, would</w:t>
      </w:r>
      <w:r w:rsidR="00997912">
        <w:rPr>
          <w:rFonts w:hAnsi="Times New Roman" w:cs="Times New Roman"/>
        </w:rPr>
        <w:t xml:space="preserve"> not have a negative impact on views </w:t>
      </w:r>
      <w:r w:rsidR="00C77BA6">
        <w:rPr>
          <w:rFonts w:hAnsi="Times New Roman" w:cs="Times New Roman"/>
        </w:rPr>
        <w:t>from the north-west, west and south-west and that the proposed works would not impact on ‘its legible profile’ when viewed from these directions</w:t>
      </w:r>
      <w:r>
        <w:rPr>
          <w:rFonts w:hAnsi="Times New Roman" w:cs="Times New Roman"/>
        </w:rPr>
        <w:t>.</w:t>
      </w:r>
      <w:r w:rsidR="005D7F87">
        <w:rPr>
          <w:rFonts w:hAnsi="Times New Roman" w:cs="Times New Roman"/>
        </w:rPr>
        <w:t xml:space="preserve"> </w:t>
      </w:r>
    </w:p>
    <w:p w14:paraId="6563CAA7" w14:textId="77777777" w:rsidR="00565415" w:rsidRDefault="00932B4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Mr Lovell</w:t>
      </w:r>
      <w:r w:rsidR="007D4753">
        <w:rPr>
          <w:rFonts w:hAnsi="Times New Roman" w:cs="Times New Roman"/>
        </w:rPr>
        <w:t xml:space="preserve"> </w:t>
      </w:r>
      <w:r w:rsidR="005F3DB9">
        <w:rPr>
          <w:rFonts w:hAnsi="Times New Roman" w:cs="Times New Roman"/>
        </w:rPr>
        <w:t xml:space="preserve">in his evidence stated that it is his assessment the cultural heritage significance of the </w:t>
      </w:r>
      <w:r w:rsidR="004774D6">
        <w:rPr>
          <w:rFonts w:hAnsi="Times New Roman" w:cs="Times New Roman"/>
        </w:rPr>
        <w:t>Nylex Sign</w:t>
      </w:r>
      <w:r w:rsidR="005F3DB9">
        <w:rPr>
          <w:rFonts w:hAnsi="Times New Roman" w:cs="Times New Roman"/>
        </w:rPr>
        <w:t xml:space="preserve"> would not be diminished by the proposed works</w:t>
      </w:r>
      <w:r w:rsidR="00C039C0">
        <w:rPr>
          <w:rFonts w:hAnsi="Times New Roman" w:cs="Times New Roman"/>
        </w:rPr>
        <w:t xml:space="preserve"> and that the most important views of it would not be impacted by the proposed works</w:t>
      </w:r>
      <w:r w:rsidR="005F3DB9">
        <w:rPr>
          <w:rFonts w:hAnsi="Times New Roman" w:cs="Times New Roman"/>
        </w:rPr>
        <w:t xml:space="preserve">. </w:t>
      </w:r>
    </w:p>
    <w:p w14:paraId="406242CF" w14:textId="77777777" w:rsidR="00932B49" w:rsidRDefault="00565415"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Mr Raworth</w:t>
      </w:r>
      <w:r w:rsidR="005317CB">
        <w:rPr>
          <w:rFonts w:hAnsi="Times New Roman" w:cs="Times New Roman"/>
        </w:rPr>
        <w:t xml:space="preserve"> in his evidence stated that in terms of key views there would not be any adverse impact on the </w:t>
      </w:r>
      <w:r w:rsidR="004774D6">
        <w:rPr>
          <w:rFonts w:hAnsi="Times New Roman" w:cs="Times New Roman"/>
        </w:rPr>
        <w:t>Nylex Sign</w:t>
      </w:r>
      <w:r w:rsidR="00430F6B">
        <w:rPr>
          <w:rFonts w:hAnsi="Times New Roman" w:cs="Times New Roman"/>
        </w:rPr>
        <w:t xml:space="preserve"> and that the landmark status of the </w:t>
      </w:r>
      <w:r w:rsidR="004774D6">
        <w:rPr>
          <w:rFonts w:hAnsi="Times New Roman" w:cs="Times New Roman"/>
        </w:rPr>
        <w:t>Nylex Sign</w:t>
      </w:r>
      <w:r w:rsidR="00430F6B">
        <w:rPr>
          <w:rFonts w:hAnsi="Times New Roman" w:cs="Times New Roman"/>
        </w:rPr>
        <w:t xml:space="preserve"> would not be diminished </w:t>
      </w:r>
      <w:r w:rsidR="009D17B8">
        <w:rPr>
          <w:rFonts w:hAnsi="Times New Roman" w:cs="Times New Roman"/>
        </w:rPr>
        <w:t xml:space="preserve">in </w:t>
      </w:r>
      <w:r w:rsidR="00430F6B">
        <w:rPr>
          <w:rFonts w:hAnsi="Times New Roman" w:cs="Times New Roman"/>
        </w:rPr>
        <w:t xml:space="preserve">views from the local surrounding area. </w:t>
      </w:r>
    </w:p>
    <w:p w14:paraId="14A9C662" w14:textId="77777777" w:rsidR="00643C90" w:rsidRDefault="00643C90"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Mr Sutherland stated in his evidence that the </w:t>
      </w:r>
      <w:r w:rsidR="003878AB">
        <w:rPr>
          <w:rFonts w:hAnsi="Times New Roman" w:cs="Times New Roman"/>
        </w:rPr>
        <w:t xml:space="preserve">distance and separation between the new buildings included in the proposed works </w:t>
      </w:r>
      <w:r w:rsidR="0087438F">
        <w:rPr>
          <w:rFonts w:hAnsi="Times New Roman" w:cs="Times New Roman"/>
        </w:rPr>
        <w:t xml:space="preserve">and the </w:t>
      </w:r>
      <w:r w:rsidR="004774D6">
        <w:rPr>
          <w:rFonts w:hAnsi="Times New Roman" w:cs="Times New Roman"/>
        </w:rPr>
        <w:t>Nylex Sign</w:t>
      </w:r>
      <w:r w:rsidR="0087438F">
        <w:rPr>
          <w:rFonts w:hAnsi="Times New Roman" w:cs="Times New Roman"/>
        </w:rPr>
        <w:t xml:space="preserve"> </w:t>
      </w:r>
      <w:r w:rsidR="003878AB">
        <w:rPr>
          <w:rFonts w:hAnsi="Times New Roman" w:cs="Times New Roman"/>
        </w:rPr>
        <w:t xml:space="preserve">would allow the new buildings and the </w:t>
      </w:r>
      <w:r w:rsidR="004774D6">
        <w:rPr>
          <w:rFonts w:hAnsi="Times New Roman" w:cs="Times New Roman"/>
        </w:rPr>
        <w:t>Nylex Sign</w:t>
      </w:r>
      <w:r w:rsidR="003878AB">
        <w:rPr>
          <w:rFonts w:hAnsi="Times New Roman" w:cs="Times New Roman"/>
        </w:rPr>
        <w:t xml:space="preserve"> to be regarded as separate</w:t>
      </w:r>
      <w:r w:rsidR="0017416C">
        <w:rPr>
          <w:rFonts w:hAnsi="Times New Roman" w:cs="Times New Roman"/>
        </w:rPr>
        <w:t xml:space="preserve"> and that the relationship between the proposed works and the </w:t>
      </w:r>
      <w:r w:rsidR="004774D6">
        <w:rPr>
          <w:rFonts w:hAnsi="Times New Roman" w:cs="Times New Roman"/>
        </w:rPr>
        <w:t>Nylex Sign</w:t>
      </w:r>
      <w:r w:rsidR="0017416C">
        <w:rPr>
          <w:rFonts w:hAnsi="Times New Roman" w:cs="Times New Roman"/>
        </w:rPr>
        <w:t xml:space="preserve"> is a comfortable one.</w:t>
      </w:r>
    </w:p>
    <w:p w14:paraId="502C6682" w14:textId="77777777" w:rsidR="00325E54" w:rsidRPr="00280E8D" w:rsidRDefault="00280E8D" w:rsidP="0099326D">
      <w:pPr>
        <w:pStyle w:val="Para1"/>
        <w:numPr>
          <w:ilvl w:val="0"/>
          <w:numId w:val="0"/>
        </w:numPr>
        <w:tabs>
          <w:tab w:val="left" w:pos="0"/>
        </w:tabs>
        <w:spacing w:line="240" w:lineRule="auto"/>
        <w:ind w:left="567" w:hanging="567"/>
        <w:rPr>
          <w:rFonts w:hAnsi="Times New Roman" w:cs="Times New Roman"/>
          <w:i/>
        </w:rPr>
      </w:pPr>
      <w:r>
        <w:rPr>
          <w:rFonts w:hAnsi="Times New Roman" w:cs="Times New Roman"/>
          <w:i/>
        </w:rPr>
        <w:t xml:space="preserve">Discussion </w:t>
      </w:r>
    </w:p>
    <w:p w14:paraId="526558F3" w14:textId="77777777" w:rsidR="007D1B75" w:rsidRDefault="00325E54"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The Committee notes that the Statement of </w:t>
      </w:r>
      <w:r w:rsidR="00095F03">
        <w:rPr>
          <w:rFonts w:hAnsi="Times New Roman" w:cs="Times New Roman"/>
        </w:rPr>
        <w:t xml:space="preserve">Significance for the </w:t>
      </w:r>
      <w:r w:rsidR="004774D6">
        <w:rPr>
          <w:rFonts w:hAnsi="Times New Roman" w:cs="Times New Roman"/>
        </w:rPr>
        <w:t>Nylex Sign</w:t>
      </w:r>
      <w:r w:rsidR="00095F03">
        <w:rPr>
          <w:rFonts w:hAnsi="Times New Roman" w:cs="Times New Roman"/>
        </w:rPr>
        <w:t xml:space="preserve"> </w:t>
      </w:r>
      <w:r w:rsidR="002E24E9">
        <w:rPr>
          <w:rFonts w:hAnsi="Times New Roman" w:cs="Times New Roman"/>
        </w:rPr>
        <w:t xml:space="preserve">includes </w:t>
      </w:r>
      <w:r w:rsidR="0087438F">
        <w:rPr>
          <w:rFonts w:hAnsi="Times New Roman" w:cs="Times New Roman"/>
        </w:rPr>
        <w:t xml:space="preserve">that there is a cluster of large </w:t>
      </w:r>
      <w:r w:rsidR="004F48CD">
        <w:rPr>
          <w:rFonts w:hAnsi="Times New Roman" w:cs="Times New Roman"/>
        </w:rPr>
        <w:t>‘</w:t>
      </w:r>
      <w:r w:rsidR="0087438F">
        <w:rPr>
          <w:rFonts w:hAnsi="Times New Roman" w:cs="Times New Roman"/>
        </w:rPr>
        <w:t>sky signs</w:t>
      </w:r>
      <w:r w:rsidR="004F48CD">
        <w:rPr>
          <w:rFonts w:hAnsi="Times New Roman" w:cs="Times New Roman"/>
        </w:rPr>
        <w:t>’</w:t>
      </w:r>
      <w:r w:rsidR="0087438F">
        <w:rPr>
          <w:rFonts w:hAnsi="Times New Roman" w:cs="Times New Roman"/>
        </w:rPr>
        <w:t xml:space="preserve"> in the Richmond area and that of all</w:t>
      </w:r>
      <w:r w:rsidR="00095F03">
        <w:rPr>
          <w:rFonts w:hAnsi="Times New Roman" w:cs="Times New Roman"/>
        </w:rPr>
        <w:t xml:space="preserve"> significant signs marking Victoria’s industrial heritage in Richmond, the </w:t>
      </w:r>
      <w:r w:rsidR="004774D6">
        <w:rPr>
          <w:rFonts w:hAnsi="Times New Roman" w:cs="Times New Roman"/>
        </w:rPr>
        <w:t>Nylex Sign</w:t>
      </w:r>
      <w:r w:rsidR="00095F03">
        <w:rPr>
          <w:rFonts w:hAnsi="Times New Roman" w:cs="Times New Roman"/>
        </w:rPr>
        <w:t xml:space="preserve"> is the most prominent.</w:t>
      </w:r>
      <w:r w:rsidR="0087438F">
        <w:rPr>
          <w:rFonts w:hAnsi="Times New Roman" w:cs="Times New Roman"/>
        </w:rPr>
        <w:t xml:space="preserve"> It also notes that large sky signs are increasing in rarity in Melbourne.</w:t>
      </w:r>
    </w:p>
    <w:p w14:paraId="1512464F" w14:textId="77777777" w:rsidR="0087438F" w:rsidRDefault="00D50D7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The </w:t>
      </w:r>
      <w:r w:rsidR="00401D96">
        <w:rPr>
          <w:rFonts w:hAnsi="Times New Roman" w:cs="Times New Roman"/>
        </w:rPr>
        <w:t xml:space="preserve">Statement of Significance </w:t>
      </w:r>
      <w:r w:rsidR="008036CA">
        <w:rPr>
          <w:rFonts w:hAnsi="Times New Roman" w:cs="Times New Roman"/>
        </w:rPr>
        <w:t xml:space="preserve">also </w:t>
      </w:r>
      <w:r w:rsidR="00401D96">
        <w:rPr>
          <w:rFonts w:hAnsi="Times New Roman" w:cs="Times New Roman"/>
        </w:rPr>
        <w:t xml:space="preserve">refers to </w:t>
      </w:r>
      <w:r>
        <w:rPr>
          <w:rFonts w:hAnsi="Times New Roman" w:cs="Times New Roman"/>
        </w:rPr>
        <w:t xml:space="preserve">the </w:t>
      </w:r>
      <w:r w:rsidR="004774D6">
        <w:rPr>
          <w:rFonts w:hAnsi="Times New Roman" w:cs="Times New Roman"/>
        </w:rPr>
        <w:t>Nylex Sign</w:t>
      </w:r>
      <w:r>
        <w:rPr>
          <w:rFonts w:hAnsi="Times New Roman" w:cs="Times New Roman"/>
        </w:rPr>
        <w:t>’</w:t>
      </w:r>
      <w:r w:rsidR="0087438F">
        <w:rPr>
          <w:rFonts w:hAnsi="Times New Roman" w:cs="Times New Roman"/>
        </w:rPr>
        <w:t xml:space="preserve">s prominent, landmark qualities, </w:t>
      </w:r>
      <w:r>
        <w:rPr>
          <w:rFonts w:hAnsi="Times New Roman" w:cs="Times New Roman"/>
        </w:rPr>
        <w:t xml:space="preserve">which have allowed it to become a </w:t>
      </w:r>
      <w:r w:rsidR="0087438F">
        <w:rPr>
          <w:rFonts w:hAnsi="Times New Roman" w:cs="Times New Roman"/>
        </w:rPr>
        <w:t xml:space="preserve">constant point of reference </w:t>
      </w:r>
      <w:r>
        <w:rPr>
          <w:rFonts w:hAnsi="Times New Roman" w:cs="Times New Roman"/>
        </w:rPr>
        <w:t>for Melb</w:t>
      </w:r>
      <w:r w:rsidR="00401D96">
        <w:rPr>
          <w:rFonts w:hAnsi="Times New Roman" w:cs="Times New Roman"/>
        </w:rPr>
        <w:t>o</w:t>
      </w:r>
      <w:r>
        <w:rPr>
          <w:rFonts w:hAnsi="Times New Roman" w:cs="Times New Roman"/>
        </w:rPr>
        <w:t>urnians</w:t>
      </w:r>
      <w:r w:rsidR="008036CA">
        <w:rPr>
          <w:rFonts w:hAnsi="Times New Roman" w:cs="Times New Roman"/>
        </w:rPr>
        <w:t xml:space="preserve"> and</w:t>
      </w:r>
      <w:r w:rsidR="00A91FCE">
        <w:rPr>
          <w:rFonts w:hAnsi="Times New Roman" w:cs="Times New Roman"/>
        </w:rPr>
        <w:t xml:space="preserve"> have</w:t>
      </w:r>
      <w:r w:rsidR="008036CA">
        <w:rPr>
          <w:rFonts w:hAnsi="Times New Roman" w:cs="Times New Roman"/>
        </w:rPr>
        <w:t xml:space="preserve"> afforded it an iconic </w:t>
      </w:r>
      <w:r w:rsidR="00A91FCE">
        <w:rPr>
          <w:rFonts w:hAnsi="Times New Roman" w:cs="Times New Roman"/>
        </w:rPr>
        <w:t>status</w:t>
      </w:r>
      <w:r>
        <w:rPr>
          <w:rFonts w:hAnsi="Times New Roman" w:cs="Times New Roman"/>
        </w:rPr>
        <w:t xml:space="preserve">. </w:t>
      </w:r>
    </w:p>
    <w:p w14:paraId="79200AFB" w14:textId="77777777" w:rsidR="0087438F" w:rsidRDefault="00D50D79"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The Committee is of the view that the </w:t>
      </w:r>
      <w:r w:rsidR="004774D6">
        <w:rPr>
          <w:rFonts w:hAnsi="Times New Roman" w:cs="Times New Roman"/>
        </w:rPr>
        <w:t>Nylex Sign</w:t>
      </w:r>
      <w:r>
        <w:rPr>
          <w:rFonts w:hAnsi="Times New Roman" w:cs="Times New Roman"/>
        </w:rPr>
        <w:t xml:space="preserve"> is of a very high level of social significance to the State of Victoria</w:t>
      </w:r>
      <w:r w:rsidR="00887E96">
        <w:rPr>
          <w:rFonts w:hAnsi="Times New Roman" w:cs="Times New Roman"/>
        </w:rPr>
        <w:t xml:space="preserve">. </w:t>
      </w:r>
    </w:p>
    <w:p w14:paraId="5D52278F" w14:textId="77777777" w:rsidR="006460C1" w:rsidRDefault="00887E96"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A</w:t>
      </w:r>
      <w:r w:rsidR="00D50D79">
        <w:rPr>
          <w:rFonts w:hAnsi="Times New Roman" w:cs="Times New Roman"/>
        </w:rPr>
        <w:t xml:space="preserve">lthough </w:t>
      </w:r>
      <w:r w:rsidR="0087438F">
        <w:rPr>
          <w:rFonts w:hAnsi="Times New Roman" w:cs="Times New Roman"/>
        </w:rPr>
        <w:t>the Committee</w:t>
      </w:r>
      <w:r w:rsidR="00D50D79">
        <w:rPr>
          <w:rFonts w:hAnsi="Times New Roman" w:cs="Times New Roman"/>
        </w:rPr>
        <w:t xml:space="preserve"> </w:t>
      </w:r>
      <w:r w:rsidR="007D1B75">
        <w:rPr>
          <w:rFonts w:hAnsi="Times New Roman" w:cs="Times New Roman"/>
        </w:rPr>
        <w:t>recognises that the</w:t>
      </w:r>
      <w:r w:rsidR="00EB6314">
        <w:rPr>
          <w:rFonts w:hAnsi="Times New Roman" w:cs="Times New Roman"/>
        </w:rPr>
        <w:t xml:space="preserve"> </w:t>
      </w:r>
      <w:r w:rsidR="004774D6">
        <w:rPr>
          <w:rFonts w:hAnsi="Times New Roman" w:cs="Times New Roman"/>
        </w:rPr>
        <w:t>Nylex Sign</w:t>
      </w:r>
      <w:r w:rsidR="00EB6314">
        <w:rPr>
          <w:rFonts w:hAnsi="Times New Roman" w:cs="Times New Roman"/>
        </w:rPr>
        <w:t xml:space="preserve"> is not directly connected</w:t>
      </w:r>
      <w:r w:rsidR="007D1B75">
        <w:rPr>
          <w:rFonts w:hAnsi="Times New Roman" w:cs="Times New Roman"/>
        </w:rPr>
        <w:t xml:space="preserve"> </w:t>
      </w:r>
      <w:r w:rsidR="00EB6314">
        <w:rPr>
          <w:rFonts w:hAnsi="Times New Roman" w:cs="Times New Roman"/>
        </w:rPr>
        <w:t>to the industrial history and use of the Place</w:t>
      </w:r>
      <w:r>
        <w:rPr>
          <w:rFonts w:hAnsi="Times New Roman" w:cs="Times New Roman"/>
        </w:rPr>
        <w:t xml:space="preserve"> as a maltings, </w:t>
      </w:r>
      <w:r w:rsidR="0087438F">
        <w:rPr>
          <w:rFonts w:hAnsi="Times New Roman" w:cs="Times New Roman"/>
        </w:rPr>
        <w:t xml:space="preserve">and is registered as a separate heritage place, the Nylex company was associated with premises in Cremorne Street </w:t>
      </w:r>
      <w:r>
        <w:rPr>
          <w:rFonts w:hAnsi="Times New Roman" w:cs="Times New Roman"/>
        </w:rPr>
        <w:t xml:space="preserve">and </w:t>
      </w:r>
      <w:r w:rsidR="008036CA">
        <w:rPr>
          <w:rFonts w:hAnsi="Times New Roman" w:cs="Times New Roman"/>
        </w:rPr>
        <w:t>the sign i</w:t>
      </w:r>
      <w:r>
        <w:rPr>
          <w:rFonts w:hAnsi="Times New Roman" w:cs="Times New Roman"/>
        </w:rPr>
        <w:t xml:space="preserve">s </w:t>
      </w:r>
      <w:r w:rsidR="00EB6314">
        <w:rPr>
          <w:rFonts w:hAnsi="Times New Roman" w:cs="Times New Roman"/>
        </w:rPr>
        <w:t xml:space="preserve">now </w:t>
      </w:r>
      <w:r w:rsidR="0087438F">
        <w:rPr>
          <w:rFonts w:hAnsi="Times New Roman" w:cs="Times New Roman"/>
        </w:rPr>
        <w:t xml:space="preserve">popularly identified </w:t>
      </w:r>
      <w:r w:rsidR="0048739D">
        <w:rPr>
          <w:rFonts w:hAnsi="Times New Roman" w:cs="Times New Roman"/>
        </w:rPr>
        <w:t>with the 1960s Richmond Maltings</w:t>
      </w:r>
      <w:r w:rsidR="0087438F">
        <w:rPr>
          <w:rFonts w:hAnsi="Times New Roman" w:cs="Times New Roman"/>
        </w:rPr>
        <w:t xml:space="preserve"> silos</w:t>
      </w:r>
      <w:r w:rsidR="008036CA">
        <w:rPr>
          <w:rFonts w:hAnsi="Times New Roman" w:cs="Times New Roman"/>
        </w:rPr>
        <w:t>. I</w:t>
      </w:r>
      <w:r w:rsidR="0087438F">
        <w:rPr>
          <w:rFonts w:hAnsi="Times New Roman" w:cs="Times New Roman"/>
        </w:rPr>
        <w:t xml:space="preserve">n this way </w:t>
      </w:r>
      <w:r w:rsidR="00D85A24">
        <w:rPr>
          <w:rFonts w:hAnsi="Times New Roman" w:cs="Times New Roman"/>
        </w:rPr>
        <w:t>the Nylex Sign</w:t>
      </w:r>
      <w:r w:rsidR="008036CA">
        <w:rPr>
          <w:rFonts w:hAnsi="Times New Roman" w:cs="Times New Roman"/>
        </w:rPr>
        <w:t xml:space="preserve"> is</w:t>
      </w:r>
      <w:r w:rsidR="0044500C">
        <w:rPr>
          <w:rFonts w:hAnsi="Times New Roman" w:cs="Times New Roman"/>
        </w:rPr>
        <w:t xml:space="preserve"> now</w:t>
      </w:r>
      <w:r w:rsidR="008036CA">
        <w:rPr>
          <w:rFonts w:hAnsi="Times New Roman" w:cs="Times New Roman"/>
        </w:rPr>
        <w:t xml:space="preserve"> </w:t>
      </w:r>
      <w:r w:rsidR="0087438F">
        <w:rPr>
          <w:rFonts w:hAnsi="Times New Roman" w:cs="Times New Roman"/>
        </w:rPr>
        <w:t>connected to the history and s</w:t>
      </w:r>
      <w:r w:rsidR="00AF06F5">
        <w:rPr>
          <w:rFonts w:hAnsi="Times New Roman" w:cs="Times New Roman"/>
        </w:rPr>
        <w:t>i</w:t>
      </w:r>
      <w:r w:rsidR="003B1DE3">
        <w:rPr>
          <w:rFonts w:hAnsi="Times New Roman" w:cs="Times New Roman"/>
        </w:rPr>
        <w:t>gnificance of the Place</w:t>
      </w:r>
      <w:r w:rsidR="00EB6314">
        <w:rPr>
          <w:rFonts w:hAnsi="Times New Roman" w:cs="Times New Roman"/>
        </w:rPr>
        <w:t>.</w:t>
      </w:r>
    </w:p>
    <w:p w14:paraId="33C473D7" w14:textId="2CC2A09D" w:rsidR="00BB2A2B" w:rsidRPr="000153FD" w:rsidRDefault="007D1B75"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The Committee is of the view that the proposed works</w:t>
      </w:r>
      <w:r w:rsidR="00105CEF">
        <w:rPr>
          <w:rFonts w:hAnsi="Times New Roman" w:cs="Times New Roman"/>
        </w:rPr>
        <w:t xml:space="preserve">, </w:t>
      </w:r>
      <w:r w:rsidR="009428F2">
        <w:rPr>
          <w:rFonts w:hAnsi="Times New Roman" w:cs="Times New Roman"/>
        </w:rPr>
        <w:t>specifically</w:t>
      </w:r>
      <w:r w:rsidR="00105CEF">
        <w:rPr>
          <w:rFonts w:hAnsi="Times New Roman" w:cs="Times New Roman"/>
        </w:rPr>
        <w:t xml:space="preserve"> the two new residential towers</w:t>
      </w:r>
      <w:r>
        <w:rPr>
          <w:rFonts w:hAnsi="Times New Roman" w:cs="Times New Roman"/>
        </w:rPr>
        <w:t>,</w:t>
      </w:r>
      <w:r w:rsidR="002241D5">
        <w:rPr>
          <w:rFonts w:hAnsi="Times New Roman" w:cs="Times New Roman"/>
        </w:rPr>
        <w:t xml:space="preserve"> </w:t>
      </w:r>
      <w:r>
        <w:rPr>
          <w:rFonts w:hAnsi="Times New Roman" w:cs="Times New Roman"/>
        </w:rPr>
        <w:t xml:space="preserve">would </w:t>
      </w:r>
      <w:r w:rsidR="006200FF">
        <w:rPr>
          <w:rFonts w:hAnsi="Times New Roman" w:cs="Times New Roman"/>
        </w:rPr>
        <w:t>diminish the</w:t>
      </w:r>
      <w:r w:rsidR="00FB373B">
        <w:rPr>
          <w:rFonts w:hAnsi="Times New Roman" w:cs="Times New Roman"/>
        </w:rPr>
        <w:t xml:space="preserve"> prominence of the </w:t>
      </w:r>
      <w:r w:rsidR="004774D6">
        <w:rPr>
          <w:rFonts w:hAnsi="Times New Roman" w:cs="Times New Roman"/>
        </w:rPr>
        <w:t>Nylex Sign</w:t>
      </w:r>
      <w:r w:rsidR="008036CA">
        <w:rPr>
          <w:rFonts w:hAnsi="Times New Roman" w:cs="Times New Roman"/>
        </w:rPr>
        <w:t xml:space="preserve"> </w:t>
      </w:r>
      <w:r w:rsidR="00A255D3">
        <w:rPr>
          <w:rFonts w:hAnsi="Times New Roman" w:cs="Times New Roman"/>
        </w:rPr>
        <w:t xml:space="preserve">by </w:t>
      </w:r>
      <w:r w:rsidR="00D521F1">
        <w:rPr>
          <w:rFonts w:hAnsi="Times New Roman" w:cs="Times New Roman"/>
        </w:rPr>
        <w:t xml:space="preserve">introducing </w:t>
      </w:r>
      <w:r w:rsidR="00A255D3">
        <w:rPr>
          <w:rFonts w:hAnsi="Times New Roman" w:cs="Times New Roman"/>
        </w:rPr>
        <w:t xml:space="preserve">new </w:t>
      </w:r>
      <w:r w:rsidR="00D521F1">
        <w:rPr>
          <w:rFonts w:hAnsi="Times New Roman" w:cs="Times New Roman"/>
        </w:rPr>
        <w:t>large element</w:t>
      </w:r>
      <w:r w:rsidR="00A255D3">
        <w:rPr>
          <w:rFonts w:hAnsi="Times New Roman" w:cs="Times New Roman"/>
        </w:rPr>
        <w:t>s</w:t>
      </w:r>
      <w:r w:rsidR="00D521F1">
        <w:rPr>
          <w:rFonts w:hAnsi="Times New Roman" w:cs="Times New Roman"/>
        </w:rPr>
        <w:t xml:space="preserve"> in the viewscape</w:t>
      </w:r>
      <w:r w:rsidR="00A255D3">
        <w:rPr>
          <w:rFonts w:hAnsi="Times New Roman" w:cs="Times New Roman"/>
        </w:rPr>
        <w:t>.</w:t>
      </w:r>
      <w:r w:rsidR="00D521F1">
        <w:rPr>
          <w:rFonts w:hAnsi="Times New Roman" w:cs="Times New Roman"/>
        </w:rPr>
        <w:t xml:space="preserve"> </w:t>
      </w:r>
      <w:r w:rsidR="00391136">
        <w:rPr>
          <w:rFonts w:hAnsi="Times New Roman" w:cs="Times New Roman"/>
        </w:rPr>
        <w:t xml:space="preserve">The amended plans show that the higher of the two proposed towers reaches </w:t>
      </w:r>
      <w:r w:rsidR="00CD7563">
        <w:rPr>
          <w:rFonts w:hAnsi="Times New Roman" w:cs="Times New Roman"/>
        </w:rPr>
        <w:t>approximately the</w:t>
      </w:r>
      <w:r w:rsidR="00391136">
        <w:rPr>
          <w:rFonts w:hAnsi="Times New Roman" w:cs="Times New Roman"/>
        </w:rPr>
        <w:t xml:space="preserve"> same height as the top of the main part of the sign which features the words ‘Nylex Plastics’, and that the lower of the two proposed towers reaches</w:t>
      </w:r>
      <w:r w:rsidR="00CD7563">
        <w:rPr>
          <w:rFonts w:hAnsi="Times New Roman" w:cs="Times New Roman"/>
        </w:rPr>
        <w:t xml:space="preserve"> approximately</w:t>
      </w:r>
      <w:r w:rsidR="00391136">
        <w:rPr>
          <w:rFonts w:hAnsi="Times New Roman" w:cs="Times New Roman"/>
        </w:rPr>
        <w:t xml:space="preserve"> to the top of the lower third of the visible depth of the sign’s supporting structural framework. </w:t>
      </w:r>
      <w:r w:rsidR="00017184">
        <w:rPr>
          <w:rFonts w:hAnsi="Times New Roman" w:cs="Times New Roman"/>
        </w:rPr>
        <w:t>T</w:t>
      </w:r>
      <w:r w:rsidR="00AB0A81">
        <w:rPr>
          <w:rFonts w:hAnsi="Times New Roman" w:cs="Times New Roman"/>
        </w:rPr>
        <w:t>he Committee considers that t</w:t>
      </w:r>
      <w:r w:rsidR="00017184">
        <w:rPr>
          <w:rFonts w:hAnsi="Times New Roman" w:cs="Times New Roman"/>
        </w:rPr>
        <w:t xml:space="preserve">his would detract from the sign’s landmark quality </w:t>
      </w:r>
      <w:r w:rsidR="002F6EE2">
        <w:rPr>
          <w:rFonts w:hAnsi="Times New Roman" w:cs="Times New Roman"/>
        </w:rPr>
        <w:t>and</w:t>
      </w:r>
      <w:r w:rsidR="00017184">
        <w:rPr>
          <w:rFonts w:hAnsi="Times New Roman" w:cs="Times New Roman"/>
        </w:rPr>
        <w:t xml:space="preserve"> presentation as a sky sign and compromise its function as a reference point. </w:t>
      </w:r>
      <w:r w:rsidR="00E42CAD">
        <w:rPr>
          <w:rFonts w:hAnsi="Times New Roman" w:cs="Times New Roman"/>
        </w:rPr>
        <w:t>In addition,</w:t>
      </w:r>
      <w:r w:rsidR="00D521F1">
        <w:rPr>
          <w:rFonts w:hAnsi="Times New Roman" w:cs="Times New Roman"/>
        </w:rPr>
        <w:t xml:space="preserve"> </w:t>
      </w:r>
      <w:r w:rsidR="00E42CAD">
        <w:rPr>
          <w:rFonts w:hAnsi="Times New Roman" w:cs="Times New Roman"/>
        </w:rPr>
        <w:t xml:space="preserve">although </w:t>
      </w:r>
      <w:r w:rsidR="00D521F1">
        <w:rPr>
          <w:rFonts w:hAnsi="Times New Roman" w:cs="Times New Roman"/>
        </w:rPr>
        <w:t>the Committee acknowledges that not all views to the sign would be directly interrupted, it is</w:t>
      </w:r>
      <w:r w:rsidR="00052BE8">
        <w:rPr>
          <w:rFonts w:hAnsi="Times New Roman" w:cs="Times New Roman"/>
        </w:rPr>
        <w:t xml:space="preserve"> </w:t>
      </w:r>
      <w:r w:rsidR="00BF2825">
        <w:rPr>
          <w:rFonts w:hAnsi="Times New Roman" w:cs="Times New Roman"/>
        </w:rPr>
        <w:t xml:space="preserve">expected that </w:t>
      </w:r>
      <w:r w:rsidR="00D521F1">
        <w:rPr>
          <w:rFonts w:hAnsi="Times New Roman" w:cs="Times New Roman"/>
        </w:rPr>
        <w:t xml:space="preserve">some </w:t>
      </w:r>
      <w:r w:rsidR="00BF2825">
        <w:rPr>
          <w:rFonts w:hAnsi="Times New Roman" w:cs="Times New Roman"/>
        </w:rPr>
        <w:t xml:space="preserve">near views to the sign would be </w:t>
      </w:r>
      <w:r w:rsidR="00D521F1">
        <w:rPr>
          <w:rFonts w:hAnsi="Times New Roman" w:cs="Times New Roman"/>
        </w:rPr>
        <w:t>obscur</w:t>
      </w:r>
      <w:r w:rsidR="00BF2825">
        <w:rPr>
          <w:rFonts w:hAnsi="Times New Roman" w:cs="Times New Roman"/>
        </w:rPr>
        <w:t>ed</w:t>
      </w:r>
      <w:r w:rsidR="00D521F1">
        <w:rPr>
          <w:rFonts w:hAnsi="Times New Roman" w:cs="Times New Roman"/>
        </w:rPr>
        <w:t xml:space="preserve"> by the new buildings</w:t>
      </w:r>
      <w:r w:rsidR="00BF2825">
        <w:rPr>
          <w:rFonts w:hAnsi="Times New Roman" w:cs="Times New Roman"/>
        </w:rPr>
        <w:t xml:space="preserve">. </w:t>
      </w:r>
      <w:r w:rsidR="00D521F1">
        <w:rPr>
          <w:rFonts w:hAnsi="Times New Roman" w:cs="Times New Roman"/>
        </w:rPr>
        <w:t>As a result of these effects upon the views to the sign</w:t>
      </w:r>
      <w:r w:rsidR="000F7A66">
        <w:rPr>
          <w:rFonts w:hAnsi="Times New Roman" w:cs="Times New Roman"/>
        </w:rPr>
        <w:t xml:space="preserve"> </w:t>
      </w:r>
      <w:r w:rsidR="00D521F1">
        <w:rPr>
          <w:rFonts w:hAnsi="Times New Roman" w:cs="Times New Roman"/>
        </w:rPr>
        <w:t>the Committee considers that the</w:t>
      </w:r>
      <w:r w:rsidR="00D91895">
        <w:rPr>
          <w:rFonts w:hAnsi="Times New Roman" w:cs="Times New Roman"/>
        </w:rPr>
        <w:t xml:space="preserve"> new works would impact to an unacceptable degree on the social significance of the </w:t>
      </w:r>
      <w:r w:rsidR="004774D6">
        <w:rPr>
          <w:rFonts w:hAnsi="Times New Roman" w:cs="Times New Roman"/>
        </w:rPr>
        <w:t>Nylex Sign</w:t>
      </w:r>
      <w:r w:rsidR="00D91895">
        <w:rPr>
          <w:rFonts w:hAnsi="Times New Roman" w:cs="Times New Roman"/>
        </w:rPr>
        <w:t>.</w:t>
      </w:r>
    </w:p>
    <w:p w14:paraId="129CBF3F" w14:textId="77777777" w:rsidR="00835342" w:rsidRDefault="00BB2A2B"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 xml:space="preserve">The Committee </w:t>
      </w:r>
      <w:r w:rsidR="000153FD">
        <w:rPr>
          <w:rFonts w:hAnsi="Times New Roman" w:cs="Times New Roman"/>
        </w:rPr>
        <w:t xml:space="preserve">is of the view that </w:t>
      </w:r>
      <w:r w:rsidR="00ED69CA">
        <w:rPr>
          <w:rFonts w:hAnsi="Times New Roman" w:cs="Times New Roman"/>
        </w:rPr>
        <w:t>the</w:t>
      </w:r>
      <w:r w:rsidR="00955BEE">
        <w:rPr>
          <w:rFonts w:hAnsi="Times New Roman" w:cs="Times New Roman"/>
        </w:rPr>
        <w:t xml:space="preserve"> prominence,</w:t>
      </w:r>
      <w:r w:rsidR="00ED69CA">
        <w:rPr>
          <w:rFonts w:hAnsi="Times New Roman" w:cs="Times New Roman"/>
        </w:rPr>
        <w:t xml:space="preserve"> landmark</w:t>
      </w:r>
      <w:r w:rsidR="00955BEE">
        <w:rPr>
          <w:rFonts w:hAnsi="Times New Roman" w:cs="Times New Roman"/>
        </w:rPr>
        <w:t xml:space="preserve"> and</w:t>
      </w:r>
      <w:r w:rsidR="00AE0AF4">
        <w:rPr>
          <w:rFonts w:hAnsi="Times New Roman" w:cs="Times New Roman"/>
        </w:rPr>
        <w:t xml:space="preserve"> iconic qualit</w:t>
      </w:r>
      <w:r w:rsidR="00955BEE">
        <w:rPr>
          <w:rFonts w:hAnsi="Times New Roman" w:cs="Times New Roman"/>
        </w:rPr>
        <w:t>ies</w:t>
      </w:r>
      <w:r w:rsidR="00ED69CA">
        <w:rPr>
          <w:rFonts w:hAnsi="Times New Roman" w:cs="Times New Roman"/>
        </w:rPr>
        <w:t xml:space="preserve"> and </w:t>
      </w:r>
      <w:r w:rsidR="00777FC9">
        <w:rPr>
          <w:rFonts w:hAnsi="Times New Roman" w:cs="Times New Roman"/>
        </w:rPr>
        <w:t xml:space="preserve">hence </w:t>
      </w:r>
      <w:r w:rsidR="00955BEE">
        <w:rPr>
          <w:rFonts w:hAnsi="Times New Roman" w:cs="Times New Roman"/>
        </w:rPr>
        <w:t xml:space="preserve">the </w:t>
      </w:r>
      <w:r w:rsidR="00ED69CA">
        <w:rPr>
          <w:rFonts w:hAnsi="Times New Roman" w:cs="Times New Roman"/>
        </w:rPr>
        <w:t>cultural heri</w:t>
      </w:r>
      <w:r w:rsidR="00856FE8">
        <w:rPr>
          <w:rFonts w:hAnsi="Times New Roman" w:cs="Times New Roman"/>
        </w:rPr>
        <w:t>tage significance of the Nylex S</w:t>
      </w:r>
      <w:r w:rsidR="00ED69CA">
        <w:rPr>
          <w:rFonts w:hAnsi="Times New Roman" w:cs="Times New Roman"/>
        </w:rPr>
        <w:t>ign would be detrimentally affe</w:t>
      </w:r>
      <w:r w:rsidR="008E5FE5">
        <w:rPr>
          <w:rFonts w:hAnsi="Times New Roman" w:cs="Times New Roman"/>
        </w:rPr>
        <w:t>cted by the proposed works.</w:t>
      </w:r>
    </w:p>
    <w:p w14:paraId="226199F2" w14:textId="77777777" w:rsidR="00454728" w:rsidRPr="00261372" w:rsidRDefault="00F037F6" w:rsidP="002F7611">
      <w:pPr>
        <w:pStyle w:val="Para1"/>
        <w:numPr>
          <w:ilvl w:val="0"/>
          <w:numId w:val="0"/>
        </w:numPr>
        <w:tabs>
          <w:tab w:val="left" w:pos="0"/>
          <w:tab w:val="left" w:pos="426"/>
        </w:tabs>
        <w:spacing w:before="360" w:line="240" w:lineRule="auto"/>
        <w:rPr>
          <w:rFonts w:hAnsi="Times New Roman" w:cs="Times New Roman"/>
          <w:b/>
        </w:rPr>
      </w:pPr>
      <w:r>
        <w:rPr>
          <w:rFonts w:hAnsi="Times New Roman" w:cs="Times New Roman"/>
          <w:b/>
        </w:rPr>
        <w:t>CONCLUSION</w:t>
      </w:r>
    </w:p>
    <w:p w14:paraId="155BAC63" w14:textId="001B8A11" w:rsidR="00835342" w:rsidRDefault="00454728" w:rsidP="0099326D">
      <w:pPr>
        <w:pStyle w:val="Para1"/>
        <w:numPr>
          <w:ilvl w:val="0"/>
          <w:numId w:val="8"/>
        </w:numPr>
        <w:tabs>
          <w:tab w:val="left" w:pos="0"/>
        </w:tabs>
        <w:spacing w:line="240" w:lineRule="auto"/>
        <w:ind w:left="567" w:hanging="567"/>
        <w:rPr>
          <w:rFonts w:hAnsi="Times New Roman" w:cs="Times New Roman"/>
        </w:rPr>
      </w:pPr>
      <w:r>
        <w:rPr>
          <w:rFonts w:hAnsi="Times New Roman" w:cs="Times New Roman"/>
        </w:rPr>
        <w:t>The Committee determines</w:t>
      </w:r>
      <w:r w:rsidR="00961AA3">
        <w:rPr>
          <w:rFonts w:hAnsi="Times New Roman" w:cs="Times New Roman"/>
        </w:rPr>
        <w:t>, pursuant to s76(4)(b)</w:t>
      </w:r>
      <w:r w:rsidR="00261372">
        <w:rPr>
          <w:rFonts w:hAnsi="Times New Roman" w:cs="Times New Roman"/>
        </w:rPr>
        <w:t xml:space="preserve"> of the </w:t>
      </w:r>
      <w:r w:rsidR="00261372" w:rsidRPr="00261372">
        <w:rPr>
          <w:rFonts w:hAnsi="Times New Roman" w:cs="Times New Roman"/>
          <w:i/>
        </w:rPr>
        <w:t>Heritage Act 1995</w:t>
      </w:r>
      <w:r w:rsidR="00261372">
        <w:rPr>
          <w:rFonts w:hAnsi="Times New Roman" w:cs="Times New Roman"/>
        </w:rPr>
        <w:t>,</w:t>
      </w:r>
      <w:r>
        <w:rPr>
          <w:rFonts w:hAnsi="Times New Roman" w:cs="Times New Roman"/>
        </w:rPr>
        <w:t xml:space="preserve"> to confirm the decision of the Executive</w:t>
      </w:r>
      <w:r w:rsidR="00961AA3">
        <w:rPr>
          <w:rFonts w:hAnsi="Times New Roman" w:cs="Times New Roman"/>
        </w:rPr>
        <w:t xml:space="preserve"> Director, that is, the</w:t>
      </w:r>
      <w:r w:rsidR="00261372">
        <w:rPr>
          <w:rFonts w:hAnsi="Times New Roman" w:cs="Times New Roman"/>
        </w:rPr>
        <w:t xml:space="preserve"> Committee </w:t>
      </w:r>
      <w:r w:rsidR="00CF7A3B">
        <w:rPr>
          <w:rFonts w:hAnsi="Times New Roman" w:cs="Times New Roman"/>
        </w:rPr>
        <w:t xml:space="preserve">determines </w:t>
      </w:r>
      <w:r w:rsidR="00961AA3">
        <w:rPr>
          <w:rFonts w:hAnsi="Times New Roman" w:cs="Times New Roman"/>
        </w:rPr>
        <w:t>t</w:t>
      </w:r>
      <w:r w:rsidR="009975B9">
        <w:rPr>
          <w:rFonts w:hAnsi="Times New Roman" w:cs="Times New Roman"/>
        </w:rPr>
        <w:t>o</w:t>
      </w:r>
      <w:r w:rsidR="00CF7A3B">
        <w:rPr>
          <w:rFonts w:hAnsi="Times New Roman" w:cs="Times New Roman"/>
        </w:rPr>
        <w:t xml:space="preserve"> refuse to</w:t>
      </w:r>
      <w:r w:rsidR="009975B9">
        <w:rPr>
          <w:rFonts w:hAnsi="Times New Roman" w:cs="Times New Roman"/>
        </w:rPr>
        <w:t xml:space="preserve"> issue a permit in relation to the proposed works</w:t>
      </w:r>
      <w:r w:rsidR="006C732A">
        <w:rPr>
          <w:rFonts w:hAnsi="Times New Roman" w:cs="Times New Roman"/>
        </w:rPr>
        <w:t>,</w:t>
      </w:r>
      <w:r w:rsidR="000B7810">
        <w:rPr>
          <w:rFonts w:hAnsi="Times New Roman" w:cs="Times New Roman"/>
        </w:rPr>
        <w:t xml:space="preserve"> as</w:t>
      </w:r>
      <w:r w:rsidR="006A4B1F">
        <w:rPr>
          <w:rFonts w:hAnsi="Times New Roman" w:cs="Times New Roman"/>
        </w:rPr>
        <w:t xml:space="preserve"> </w:t>
      </w:r>
      <w:r w:rsidR="000B7810">
        <w:rPr>
          <w:rFonts w:hAnsi="Times New Roman" w:cs="Times New Roman"/>
        </w:rPr>
        <w:t xml:space="preserve">described in </w:t>
      </w:r>
      <w:r w:rsidR="004D653A">
        <w:rPr>
          <w:rFonts w:hAnsi="Times New Roman" w:cs="Times New Roman"/>
        </w:rPr>
        <w:t>the amended plans</w:t>
      </w:r>
      <w:r w:rsidR="000B7810">
        <w:rPr>
          <w:rFonts w:hAnsi="Times New Roman" w:cs="Times New Roman"/>
        </w:rPr>
        <w:t>.</w:t>
      </w:r>
      <w:r w:rsidR="00961AA3">
        <w:rPr>
          <w:rFonts w:hAnsi="Times New Roman" w:cs="Times New Roman"/>
        </w:rPr>
        <w:t xml:space="preserve"> </w:t>
      </w:r>
    </w:p>
    <w:p w14:paraId="78F112C6" w14:textId="77777777" w:rsidR="003A665C" w:rsidRDefault="003A665C" w:rsidP="002E24E9">
      <w:pPr>
        <w:pStyle w:val="Para1"/>
        <w:numPr>
          <w:ilvl w:val="0"/>
          <w:numId w:val="0"/>
        </w:numPr>
        <w:spacing w:line="240" w:lineRule="auto"/>
        <w:rPr>
          <w:rFonts w:hAnsi="Times New Roman" w:cs="Times New Roman"/>
        </w:rPr>
      </w:pPr>
    </w:p>
    <w:p w14:paraId="536A3AB4" w14:textId="77777777" w:rsidR="008746EA" w:rsidRDefault="008746EA" w:rsidP="002E24E9">
      <w:pPr>
        <w:pStyle w:val="Para1"/>
        <w:numPr>
          <w:ilvl w:val="0"/>
          <w:numId w:val="0"/>
        </w:numPr>
        <w:spacing w:line="240" w:lineRule="auto"/>
        <w:rPr>
          <w:rFonts w:hAnsi="Times New Roman" w:cs="Times New Roman"/>
        </w:rPr>
      </w:pPr>
    </w:p>
    <w:p w14:paraId="2D5AE023" w14:textId="77777777" w:rsidR="008746EA" w:rsidRDefault="008746EA" w:rsidP="002E24E9">
      <w:pPr>
        <w:pStyle w:val="Para1"/>
        <w:numPr>
          <w:ilvl w:val="0"/>
          <w:numId w:val="0"/>
        </w:numPr>
        <w:spacing w:line="240" w:lineRule="auto"/>
        <w:rPr>
          <w:rFonts w:hAnsi="Times New Roman" w:cs="Times New Roman"/>
        </w:rPr>
      </w:pPr>
    </w:p>
    <w:p w14:paraId="51FA6288" w14:textId="77777777" w:rsidR="006405DB" w:rsidRPr="006405DB" w:rsidRDefault="006405DB" w:rsidP="006405DB">
      <w:pPr>
        <w:pStyle w:val="standard"/>
        <w:jc w:val="right"/>
        <w:rPr>
          <w:rFonts w:ascii="Times New Roman" w:hAnsi="Times New Roman" w:cs="Times New Roman"/>
          <w:color w:val="auto"/>
        </w:rPr>
      </w:pPr>
      <w:r>
        <w:rPr>
          <w:noProof/>
        </w:rPr>
        <w:drawing>
          <wp:inline distT="0" distB="0" distL="0" distR="0" wp14:anchorId="5D58E7F9" wp14:editId="36C829E7">
            <wp:extent cx="847725" cy="857250"/>
            <wp:effectExtent l="19050" t="0" r="9525" b="0"/>
            <wp:docPr id="1" name="Picture 4"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V primary logo"/>
                    <pic:cNvPicPr>
                      <a:picLocks noChangeAspect="1" noChangeArrowheads="1"/>
                    </pic:cNvPicPr>
                  </pic:nvPicPr>
                  <pic:blipFill>
                    <a:blip r:embed="rId10"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14:paraId="0DA2D4A6" w14:textId="77777777" w:rsidR="006405DB" w:rsidRPr="005000F1" w:rsidRDefault="006405DB" w:rsidP="006405DB">
      <w:pPr>
        <w:pStyle w:val="standard"/>
        <w:rPr>
          <w:rFonts w:ascii="Times New Roman" w:hAnsi="Times New Roman" w:cs="Times New Roman"/>
          <w:b/>
          <w:color w:val="auto"/>
          <w:sz w:val="28"/>
          <w:szCs w:val="28"/>
        </w:rPr>
      </w:pPr>
      <w:r w:rsidRPr="005000F1">
        <w:rPr>
          <w:rFonts w:ascii="Times New Roman" w:hAnsi="Times New Roman" w:cs="Times New Roman"/>
          <w:b/>
          <w:color w:val="auto"/>
          <w:sz w:val="28"/>
          <w:szCs w:val="28"/>
        </w:rPr>
        <w:t>ATTACHMENT 1</w:t>
      </w:r>
    </w:p>
    <w:p w14:paraId="3AC4A498" w14:textId="77777777" w:rsidR="006405DB" w:rsidRPr="00647C12" w:rsidRDefault="006405DB" w:rsidP="006405DB">
      <w:pPr>
        <w:pStyle w:val="HTMLPreformatted"/>
        <w:rPr>
          <w:rFonts w:ascii="Times New Roman" w:hAnsi="Times New Roman" w:cs="Times New Roman"/>
          <w:b/>
          <w:sz w:val="24"/>
          <w:szCs w:val="24"/>
        </w:rPr>
      </w:pPr>
      <w:r w:rsidRPr="00647C12">
        <w:rPr>
          <w:rFonts w:ascii="Times New Roman" w:hAnsi="Times New Roman" w:cs="Times New Roman"/>
          <w:b/>
          <w:sz w:val="24"/>
          <w:szCs w:val="24"/>
        </w:rPr>
        <w:t>73. Matters to be considered in determining applications</w:t>
      </w:r>
    </w:p>
    <w:p w14:paraId="24EB2F37" w14:textId="77777777" w:rsidR="006405DB" w:rsidRPr="00647C12" w:rsidRDefault="006405DB" w:rsidP="006405DB">
      <w:pPr>
        <w:pStyle w:val="HTMLPreformatted"/>
      </w:pPr>
    </w:p>
    <w:p w14:paraId="6D7F1C35"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47C12">
        <w:rPr>
          <w:rFonts w:ascii="Times New Roman" w:hAnsi="Times New Roman" w:cs="Times New Roman"/>
          <w:sz w:val="24"/>
          <w:szCs w:val="24"/>
        </w:rPr>
        <w:t xml:space="preserve">(1)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11" w:anchor="executive_director" w:history="1">
        <w:r w:rsidRPr="00647C12">
          <w:rPr>
            <w:rFonts w:ascii="Times New Roman" w:hAnsi="Times New Roman" w:cs="Times New Roman"/>
            <w:sz w:val="24"/>
            <w:szCs w:val="24"/>
          </w:rPr>
          <w:t>Executive Director</w:t>
        </w:r>
      </w:hyperlink>
      <w:r w:rsidRPr="00647C12">
        <w:rPr>
          <w:rFonts w:ascii="Times New Roman" w:hAnsi="Times New Roman" w:cs="Times New Roman"/>
          <w:sz w:val="24"/>
          <w:szCs w:val="24"/>
        </w:rPr>
        <w:t xml:space="preserve"> must</w:t>
      </w:r>
    </w:p>
    <w:p w14:paraId="406A052E"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consider-</w:t>
      </w:r>
    </w:p>
    <w:p w14:paraId="3E558D27"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314EA08"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55E22">
        <w:rPr>
          <w:rFonts w:ascii="Times New Roman" w:hAnsi="Times New Roman" w:cs="Times New Roman"/>
          <w:sz w:val="24"/>
          <w:szCs w:val="24"/>
        </w:rPr>
        <w:t xml:space="preserve">the extent to which the application, if approved, would affect the </w:t>
      </w:r>
      <w:hyperlink r:id="rId12" w:anchor="cultural_heritage_significance" w:history="1">
        <w:r w:rsidRPr="00955E22">
          <w:rPr>
            <w:rFonts w:ascii="Times New Roman" w:hAnsi="Times New Roman" w:cs="Times New Roman"/>
            <w:sz w:val="24"/>
            <w:szCs w:val="24"/>
          </w:rPr>
          <w:t>cultural heritage significance</w:t>
        </w:r>
      </w:hyperlink>
      <w:r w:rsidRPr="00955E22">
        <w:rPr>
          <w:rFonts w:ascii="Times New Roman" w:hAnsi="Times New Roman" w:cs="Times New Roman"/>
          <w:sz w:val="24"/>
          <w:szCs w:val="24"/>
        </w:rPr>
        <w:t xml:space="preserve"> of the </w:t>
      </w:r>
      <w:hyperlink r:id="rId13" w:anchor="registered_place" w:history="1">
        <w:r w:rsidRPr="00955E22">
          <w:rPr>
            <w:rFonts w:ascii="Times New Roman" w:hAnsi="Times New Roman" w:cs="Times New Roman"/>
            <w:sz w:val="24"/>
            <w:szCs w:val="24"/>
          </w:rPr>
          <w:t>registered place</w:t>
        </w:r>
      </w:hyperlink>
      <w:r w:rsidRPr="00955E22">
        <w:rPr>
          <w:rFonts w:ascii="Times New Roman" w:hAnsi="Times New Roman" w:cs="Times New Roman"/>
          <w:sz w:val="24"/>
          <w:szCs w:val="24"/>
        </w:rPr>
        <w:t xml:space="preserve"> or </w:t>
      </w:r>
      <w:hyperlink r:id="rId14" w:anchor="registered_object" w:history="1">
        <w:r w:rsidRPr="00955E22">
          <w:rPr>
            <w:rFonts w:ascii="Times New Roman" w:hAnsi="Times New Roman" w:cs="Times New Roman"/>
            <w:sz w:val="24"/>
            <w:szCs w:val="24"/>
          </w:rPr>
          <w:t>registered object</w:t>
        </w:r>
      </w:hyperlink>
      <w:r w:rsidRPr="00955E22">
        <w:rPr>
          <w:rFonts w:ascii="Times New Roman" w:hAnsi="Times New Roman" w:cs="Times New Roman"/>
          <w:sz w:val="24"/>
          <w:szCs w:val="24"/>
        </w:rPr>
        <w:t>; and</w:t>
      </w:r>
    </w:p>
    <w:p w14:paraId="04631F15" w14:textId="77777777" w:rsidR="006405DB" w:rsidRPr="00647C1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9AC2AF0"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(ab) </w:t>
      </w:r>
      <w:r>
        <w:rPr>
          <w:rFonts w:ascii="Times New Roman" w:hAnsi="Times New Roman" w:cs="Times New Roman"/>
          <w:sz w:val="24"/>
          <w:szCs w:val="24"/>
        </w:rPr>
        <w:tab/>
      </w:r>
      <w:r w:rsidRPr="00754FE0">
        <w:rPr>
          <w:rFonts w:ascii="Times New Roman" w:hAnsi="Times New Roman" w:cs="Times New Roman"/>
          <w:sz w:val="24"/>
          <w:szCs w:val="24"/>
        </w:rPr>
        <w:t xml:space="preserve">if the application relates to a </w:t>
      </w:r>
      <w:hyperlink r:id="rId15" w:anchor="listed_place" w:history="1">
        <w:r w:rsidRPr="00754FE0">
          <w:rPr>
            <w:rFonts w:ascii="Times New Roman" w:hAnsi="Times New Roman" w:cs="Times New Roman"/>
            <w:sz w:val="24"/>
            <w:szCs w:val="24"/>
          </w:rPr>
          <w:t>listed place</w:t>
        </w:r>
      </w:hyperlink>
      <w:r w:rsidRPr="00754FE0">
        <w:rPr>
          <w:rFonts w:ascii="Times New Roman" w:hAnsi="Times New Roman" w:cs="Times New Roman"/>
          <w:sz w:val="24"/>
          <w:szCs w:val="24"/>
        </w:rPr>
        <w:t xml:space="preserve"> or to a </w:t>
      </w:r>
      <w:hyperlink r:id="rId16" w:anchor="registered_place" w:history="1">
        <w:r w:rsidRPr="00754FE0">
          <w:rPr>
            <w:rFonts w:ascii="Times New Roman" w:hAnsi="Times New Roman" w:cs="Times New Roman"/>
            <w:sz w:val="24"/>
            <w:szCs w:val="24"/>
          </w:rPr>
          <w:t>registered place</w:t>
        </w:r>
      </w:hyperlink>
      <w:r w:rsidRPr="00754FE0">
        <w:rPr>
          <w:rFonts w:ascii="Times New Roman" w:hAnsi="Times New Roman" w:cs="Times New Roman"/>
          <w:sz w:val="24"/>
          <w:szCs w:val="24"/>
        </w:rPr>
        <w:t xml:space="preserve"> or </w:t>
      </w:r>
      <w:hyperlink r:id="rId17" w:anchor="registered_object" w:history="1">
        <w:r w:rsidRPr="00754FE0">
          <w:rPr>
            <w:rFonts w:ascii="Times New Roman" w:hAnsi="Times New Roman" w:cs="Times New Roman"/>
            <w:sz w:val="24"/>
            <w:szCs w:val="24"/>
          </w:rPr>
          <w:t>registered object</w:t>
        </w:r>
      </w:hyperlink>
      <w:r w:rsidRPr="00754FE0">
        <w:rPr>
          <w:rFonts w:ascii="Times New Roman" w:hAnsi="Times New Roman" w:cs="Times New Roman"/>
          <w:sz w:val="24"/>
          <w:szCs w:val="24"/>
        </w:rPr>
        <w:t xml:space="preserve"> in a </w:t>
      </w:r>
      <w:hyperlink r:id="rId18" w:anchor="world_heritage_environs_area" w:history="1">
        <w:r w:rsidRPr="00754FE0">
          <w:rPr>
            <w:rFonts w:ascii="Times New Roman" w:hAnsi="Times New Roman" w:cs="Times New Roman"/>
            <w:sz w:val="24"/>
            <w:szCs w:val="24"/>
          </w:rPr>
          <w:t>World Heritage Environs Area</w:t>
        </w:r>
      </w:hyperlink>
      <w:r w:rsidRPr="00754FE0">
        <w:rPr>
          <w:rFonts w:ascii="Times New Roman" w:hAnsi="Times New Roman" w:cs="Times New Roman"/>
          <w:sz w:val="24"/>
          <w:szCs w:val="24"/>
        </w:rPr>
        <w:t>, the extent to which the application, if approved, would affect</w:t>
      </w:r>
      <w:r w:rsidRPr="00A8356D">
        <w:rPr>
          <w:rFonts w:ascii="Times New Roman" w:hAnsi="Times New Roman" w:cs="Times New Roman"/>
          <w:sz w:val="24"/>
          <w:szCs w:val="24"/>
        </w:rPr>
        <w:t xml:space="preserve"> -</w:t>
      </w:r>
    </w:p>
    <w:p w14:paraId="0CF82FE1"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851736D"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A8356D">
        <w:rPr>
          <w:rFonts w:ascii="Times New Roman" w:hAnsi="Times New Roman" w:cs="Times New Roman"/>
          <w:sz w:val="24"/>
          <w:szCs w:val="24"/>
        </w:rPr>
        <w:t xml:space="preserve">(i)  the </w:t>
      </w:r>
      <w:hyperlink r:id="rId19" w:anchor="world_heritage_values" w:history="1">
        <w:r w:rsidRPr="00754FE0">
          <w:rPr>
            <w:rFonts w:ascii="Times New Roman" w:hAnsi="Times New Roman" w:cs="Times New Roman"/>
            <w:sz w:val="24"/>
            <w:szCs w:val="24"/>
          </w:rPr>
          <w:t>world heritage values</w:t>
        </w:r>
      </w:hyperlink>
      <w:r w:rsidRPr="00754FE0">
        <w:rPr>
          <w:rFonts w:ascii="Times New Roman" w:hAnsi="Times New Roman" w:cs="Times New Roman"/>
          <w:sz w:val="24"/>
          <w:szCs w:val="24"/>
        </w:rPr>
        <w:t xml:space="preserve"> of the </w:t>
      </w:r>
      <w:hyperlink r:id="rId20" w:anchor="listed_place" w:history="1">
        <w:r w:rsidRPr="00754FE0">
          <w:rPr>
            <w:rFonts w:ascii="Times New Roman" w:hAnsi="Times New Roman" w:cs="Times New Roman"/>
            <w:sz w:val="24"/>
            <w:szCs w:val="24"/>
          </w:rPr>
          <w:t>listed place</w:t>
        </w:r>
      </w:hyperlink>
      <w:r w:rsidRPr="00754FE0">
        <w:rPr>
          <w:rFonts w:ascii="Times New Roman" w:hAnsi="Times New Roman" w:cs="Times New Roman"/>
          <w:sz w:val="24"/>
          <w:szCs w:val="24"/>
        </w:rPr>
        <w:t>; or</w:t>
      </w:r>
    </w:p>
    <w:p w14:paraId="57C5E846"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5E6CB0CD"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A8356D">
        <w:rPr>
          <w:rFonts w:ascii="Times New Roman" w:hAnsi="Times New Roman" w:cs="Times New Roman"/>
          <w:sz w:val="24"/>
          <w:szCs w:val="24"/>
        </w:rPr>
        <w:t xml:space="preserve">(ii) any relevant </w:t>
      </w:r>
      <w:hyperlink r:id="rId21" w:anchor="approved_world_heritage_strategy_plan" w:history="1">
        <w:r w:rsidRPr="00754FE0">
          <w:rPr>
            <w:rFonts w:ascii="Times New Roman" w:hAnsi="Times New Roman" w:cs="Times New Roman"/>
            <w:sz w:val="24"/>
            <w:szCs w:val="24"/>
          </w:rPr>
          <w:t>Approved World Heritage Strategy Plan</w:t>
        </w:r>
      </w:hyperlink>
      <w:r w:rsidRPr="00754FE0">
        <w:rPr>
          <w:rFonts w:ascii="Times New Roman" w:hAnsi="Times New Roman" w:cs="Times New Roman"/>
          <w:sz w:val="24"/>
          <w:szCs w:val="24"/>
        </w:rPr>
        <w:t>; and</w:t>
      </w:r>
    </w:p>
    <w:p w14:paraId="0AC78D7B"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48B5577"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A8356D">
        <w:rPr>
          <w:rFonts w:ascii="Times New Roman" w:hAnsi="Times New Roman" w:cs="Times New Roman"/>
          <w:sz w:val="24"/>
          <w:szCs w:val="24"/>
        </w:rPr>
        <w:t>(b)</w:t>
      </w:r>
      <w:r w:rsidRPr="00A8356D">
        <w:rPr>
          <w:rFonts w:ascii="Times New Roman" w:hAnsi="Times New Roman" w:cs="Times New Roman"/>
          <w:sz w:val="24"/>
          <w:szCs w:val="24"/>
        </w:rPr>
        <w:tab/>
      </w:r>
      <w:r w:rsidRPr="00955E22">
        <w:rPr>
          <w:rFonts w:ascii="Times New Roman" w:hAnsi="Times New Roman" w:cs="Times New Roman"/>
          <w:sz w:val="24"/>
          <w:szCs w:val="24"/>
        </w:rPr>
        <w:t xml:space="preserve">the extent to which the application, if refused, would affect the reasonable or economic use of the </w:t>
      </w:r>
      <w:hyperlink r:id="rId22" w:anchor="registered_place" w:history="1">
        <w:r w:rsidRPr="00955E22">
          <w:rPr>
            <w:rFonts w:ascii="Times New Roman" w:hAnsi="Times New Roman" w:cs="Times New Roman"/>
            <w:sz w:val="24"/>
            <w:szCs w:val="24"/>
          </w:rPr>
          <w:t>registered place</w:t>
        </w:r>
      </w:hyperlink>
      <w:r w:rsidRPr="00955E22">
        <w:rPr>
          <w:rFonts w:ascii="Times New Roman" w:hAnsi="Times New Roman" w:cs="Times New Roman"/>
          <w:sz w:val="24"/>
          <w:szCs w:val="24"/>
        </w:rPr>
        <w:t xml:space="preserve"> or </w:t>
      </w:r>
      <w:hyperlink r:id="rId23" w:anchor="registered_object" w:history="1">
        <w:r w:rsidRPr="00955E22">
          <w:rPr>
            <w:rFonts w:ascii="Times New Roman" w:hAnsi="Times New Roman" w:cs="Times New Roman"/>
            <w:sz w:val="24"/>
            <w:szCs w:val="24"/>
          </w:rPr>
          <w:t>registered object</w:t>
        </w:r>
      </w:hyperlink>
      <w:r w:rsidRPr="00955E22">
        <w:rPr>
          <w:rFonts w:ascii="Times New Roman" w:hAnsi="Times New Roman" w:cs="Times New Roman"/>
          <w:sz w:val="24"/>
          <w:szCs w:val="24"/>
        </w:rPr>
        <w:t xml:space="preserve">, or cause undue financial hardship to the </w:t>
      </w:r>
      <w:hyperlink r:id="rId24" w:anchor="owner" w:history="1">
        <w:r w:rsidRPr="00955E22">
          <w:rPr>
            <w:rFonts w:ascii="Times New Roman" w:hAnsi="Times New Roman" w:cs="Times New Roman"/>
            <w:sz w:val="24"/>
            <w:szCs w:val="24"/>
          </w:rPr>
          <w:t>owner</w:t>
        </w:r>
      </w:hyperlink>
      <w:r w:rsidRPr="00955E22">
        <w:rPr>
          <w:rFonts w:ascii="Times New Roman" w:hAnsi="Times New Roman" w:cs="Times New Roman"/>
          <w:sz w:val="24"/>
          <w:szCs w:val="24"/>
        </w:rPr>
        <w:t xml:space="preserve"> in relation to that </w:t>
      </w:r>
      <w:hyperlink r:id="rId25" w:anchor="place" w:history="1">
        <w:r w:rsidRPr="00955E22">
          <w:rPr>
            <w:rFonts w:ascii="Times New Roman" w:hAnsi="Times New Roman" w:cs="Times New Roman"/>
            <w:sz w:val="24"/>
            <w:szCs w:val="24"/>
          </w:rPr>
          <w:t>place</w:t>
        </w:r>
      </w:hyperlink>
      <w:r w:rsidRPr="00955E22">
        <w:rPr>
          <w:rFonts w:ascii="Times New Roman" w:hAnsi="Times New Roman" w:cs="Times New Roman"/>
          <w:sz w:val="24"/>
          <w:szCs w:val="24"/>
        </w:rPr>
        <w:t xml:space="preserve"> or </w:t>
      </w:r>
      <w:hyperlink r:id="rId26" w:anchor="object" w:history="1">
        <w:r w:rsidRPr="00955E22">
          <w:rPr>
            <w:rFonts w:ascii="Times New Roman" w:hAnsi="Times New Roman" w:cs="Times New Roman"/>
            <w:sz w:val="24"/>
            <w:szCs w:val="24"/>
          </w:rPr>
          <w:t>object</w:t>
        </w:r>
      </w:hyperlink>
      <w:r w:rsidRPr="00955E22">
        <w:rPr>
          <w:rFonts w:ascii="Times New Roman" w:hAnsi="Times New Roman" w:cs="Times New Roman"/>
          <w:sz w:val="24"/>
          <w:szCs w:val="24"/>
        </w:rPr>
        <w:t>; and</w:t>
      </w:r>
    </w:p>
    <w:p w14:paraId="105A8F66"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7D3BF55F"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754FE0">
        <w:rPr>
          <w:rFonts w:ascii="Times New Roman" w:hAnsi="Times New Roman" w:cs="Times New Roman"/>
          <w:sz w:val="24"/>
          <w:szCs w:val="24"/>
        </w:rPr>
        <w:t>(c)</w:t>
      </w:r>
      <w:r w:rsidRPr="00754FE0">
        <w:rPr>
          <w:rFonts w:ascii="Times New Roman" w:hAnsi="Times New Roman" w:cs="Times New Roman"/>
          <w:sz w:val="24"/>
          <w:szCs w:val="24"/>
        </w:rPr>
        <w:tab/>
      </w:r>
      <w:r w:rsidRPr="00955E22">
        <w:rPr>
          <w:rFonts w:ascii="Times New Roman" w:hAnsi="Times New Roman" w:cs="Times New Roman"/>
          <w:sz w:val="24"/>
          <w:szCs w:val="24"/>
        </w:rPr>
        <w:t>any submissions made under section 69; and</w:t>
      </w:r>
    </w:p>
    <w:p w14:paraId="00413BFF"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1A74A20"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754FE0">
        <w:rPr>
          <w:rFonts w:ascii="Times New Roman" w:hAnsi="Times New Roman" w:cs="Times New Roman"/>
          <w:sz w:val="24"/>
          <w:szCs w:val="24"/>
        </w:rPr>
        <w:t xml:space="preserve">(d)  </w:t>
      </w:r>
      <w:r w:rsidRPr="00754FE0">
        <w:rPr>
          <w:rFonts w:ascii="Times New Roman" w:hAnsi="Times New Roman" w:cs="Times New Roman"/>
          <w:sz w:val="24"/>
          <w:szCs w:val="24"/>
        </w:rPr>
        <w:tab/>
        <w:t xml:space="preserve">any decision of the </w:t>
      </w:r>
      <w:hyperlink r:id="rId27" w:anchor="heritage_council" w:history="1">
        <w:r w:rsidRPr="00754FE0">
          <w:rPr>
            <w:rFonts w:ascii="Times New Roman" w:hAnsi="Times New Roman" w:cs="Times New Roman"/>
            <w:sz w:val="24"/>
            <w:szCs w:val="24"/>
          </w:rPr>
          <w:t>Heritage Council</w:t>
        </w:r>
      </w:hyperlink>
      <w:r w:rsidRPr="00754FE0">
        <w:rPr>
          <w:rFonts w:ascii="Times New Roman" w:hAnsi="Times New Roman" w:cs="Times New Roman"/>
          <w:sz w:val="24"/>
          <w:szCs w:val="24"/>
        </w:rPr>
        <w:t xml:space="preserve"> under section 72 which has been</w:t>
      </w:r>
    </w:p>
    <w:p w14:paraId="69D39912"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A8356D">
        <w:rPr>
          <w:rFonts w:ascii="Times New Roman" w:hAnsi="Times New Roman" w:cs="Times New Roman"/>
          <w:sz w:val="24"/>
          <w:szCs w:val="24"/>
        </w:rPr>
        <w:t xml:space="preserve">        </w:t>
      </w:r>
      <w:r w:rsidRPr="00754FE0">
        <w:rPr>
          <w:rFonts w:ascii="Times New Roman" w:hAnsi="Times New Roman" w:cs="Times New Roman"/>
          <w:sz w:val="24"/>
          <w:szCs w:val="24"/>
        </w:rPr>
        <w:tab/>
        <w:t>received; and</w:t>
      </w:r>
    </w:p>
    <w:p w14:paraId="75A441E5"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3980DFC9"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754FE0">
        <w:rPr>
          <w:rFonts w:ascii="Times New Roman" w:hAnsi="Times New Roman" w:cs="Times New Roman"/>
          <w:sz w:val="24"/>
          <w:szCs w:val="24"/>
        </w:rPr>
        <w:t xml:space="preserve">(e)  </w:t>
      </w:r>
      <w:r w:rsidRPr="00754FE0">
        <w:rPr>
          <w:rFonts w:ascii="Times New Roman" w:hAnsi="Times New Roman" w:cs="Times New Roman"/>
          <w:sz w:val="24"/>
          <w:szCs w:val="24"/>
        </w:rPr>
        <w:tab/>
        <w:t xml:space="preserve">if the applicant is a </w:t>
      </w:r>
      <w:hyperlink r:id="rId28" w:anchor="public_authority" w:history="1">
        <w:r w:rsidRPr="00754FE0">
          <w:rPr>
            <w:rFonts w:ascii="Times New Roman" w:hAnsi="Times New Roman" w:cs="Times New Roman"/>
            <w:sz w:val="24"/>
            <w:szCs w:val="24"/>
          </w:rPr>
          <w:t>public authority</w:t>
        </w:r>
      </w:hyperlink>
      <w:r w:rsidRPr="00754FE0">
        <w:rPr>
          <w:rFonts w:ascii="Times New Roman" w:hAnsi="Times New Roman" w:cs="Times New Roman"/>
          <w:sz w:val="24"/>
          <w:szCs w:val="24"/>
        </w:rPr>
        <w:t xml:space="preserve">, the extent to which the application, if refused, would unreasonably detrimentally affect the ability of the </w:t>
      </w:r>
      <w:hyperlink r:id="rId29" w:anchor="public_authority" w:history="1">
        <w:r w:rsidRPr="00754FE0">
          <w:rPr>
            <w:rFonts w:ascii="Times New Roman" w:hAnsi="Times New Roman" w:cs="Times New Roman"/>
            <w:sz w:val="24"/>
            <w:szCs w:val="24"/>
          </w:rPr>
          <w:t>public authority</w:t>
        </w:r>
      </w:hyperlink>
      <w:r w:rsidRPr="00754FE0">
        <w:rPr>
          <w:rFonts w:ascii="Times New Roman" w:hAnsi="Times New Roman" w:cs="Times New Roman"/>
          <w:sz w:val="24"/>
          <w:szCs w:val="24"/>
        </w:rPr>
        <w:t xml:space="preserve"> to carry out a statutory duty specified in the application; and</w:t>
      </w:r>
    </w:p>
    <w:p w14:paraId="2015E396"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2C8A280"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A8356D">
        <w:rPr>
          <w:rFonts w:ascii="Times New Roman" w:hAnsi="Times New Roman" w:cs="Times New Roman"/>
          <w:sz w:val="24"/>
          <w:szCs w:val="24"/>
        </w:rPr>
        <w:t xml:space="preserve">(f)  </w:t>
      </w:r>
      <w:r w:rsidRPr="00A8356D">
        <w:rPr>
          <w:rFonts w:ascii="Times New Roman" w:hAnsi="Times New Roman" w:cs="Times New Roman"/>
          <w:sz w:val="24"/>
          <w:szCs w:val="24"/>
        </w:rPr>
        <w:tab/>
      </w:r>
      <w:r w:rsidRPr="00955E22">
        <w:rPr>
          <w:rFonts w:ascii="Times New Roman" w:hAnsi="Times New Roman" w:cs="Times New Roman"/>
          <w:sz w:val="24"/>
          <w:szCs w:val="24"/>
        </w:rPr>
        <w:t xml:space="preserve">any matters relating to the protection and </w:t>
      </w:r>
      <w:hyperlink r:id="rId30" w:anchor="conservation" w:history="1">
        <w:r w:rsidRPr="00955E22">
          <w:rPr>
            <w:rFonts w:ascii="Times New Roman" w:hAnsi="Times New Roman" w:cs="Times New Roman"/>
            <w:sz w:val="24"/>
            <w:szCs w:val="24"/>
          </w:rPr>
          <w:t>conservation</w:t>
        </w:r>
      </w:hyperlink>
      <w:r w:rsidRPr="00955E22">
        <w:rPr>
          <w:rFonts w:ascii="Times New Roman" w:hAnsi="Times New Roman" w:cs="Times New Roman"/>
          <w:sz w:val="24"/>
          <w:szCs w:val="24"/>
        </w:rPr>
        <w:t xml:space="preserve"> of the </w:t>
      </w:r>
      <w:hyperlink r:id="rId31" w:anchor="place" w:history="1">
        <w:r w:rsidRPr="00955E22">
          <w:rPr>
            <w:rFonts w:ascii="Times New Roman" w:hAnsi="Times New Roman" w:cs="Times New Roman"/>
            <w:sz w:val="24"/>
            <w:szCs w:val="24"/>
          </w:rPr>
          <w:t>place</w:t>
        </w:r>
      </w:hyperlink>
      <w:r w:rsidRPr="00955E22">
        <w:rPr>
          <w:rFonts w:ascii="Times New Roman" w:hAnsi="Times New Roman" w:cs="Times New Roman"/>
          <w:sz w:val="24"/>
          <w:szCs w:val="24"/>
        </w:rPr>
        <w:t xml:space="preserve"> or </w:t>
      </w:r>
      <w:hyperlink r:id="rId32" w:anchor="object" w:history="1">
        <w:r w:rsidRPr="00955E22">
          <w:rPr>
            <w:rFonts w:ascii="Times New Roman" w:hAnsi="Times New Roman" w:cs="Times New Roman"/>
            <w:sz w:val="24"/>
            <w:szCs w:val="24"/>
          </w:rPr>
          <w:t>object</w:t>
        </w:r>
      </w:hyperlink>
      <w:r w:rsidRPr="00955E22">
        <w:rPr>
          <w:rFonts w:ascii="Times New Roman" w:hAnsi="Times New Roman" w:cs="Times New Roman"/>
          <w:sz w:val="24"/>
          <w:szCs w:val="24"/>
        </w:rPr>
        <w:t xml:space="preserve"> that the </w:t>
      </w:r>
      <w:hyperlink r:id="rId33" w:anchor="executive_director" w:history="1">
        <w:r w:rsidRPr="00955E22">
          <w:rPr>
            <w:rFonts w:ascii="Times New Roman" w:hAnsi="Times New Roman" w:cs="Times New Roman"/>
            <w:sz w:val="24"/>
            <w:szCs w:val="24"/>
          </w:rPr>
          <w:t>Executive Director</w:t>
        </w:r>
      </w:hyperlink>
      <w:r w:rsidRPr="00955E22">
        <w:rPr>
          <w:rFonts w:ascii="Times New Roman" w:hAnsi="Times New Roman" w:cs="Times New Roman"/>
          <w:sz w:val="24"/>
          <w:szCs w:val="24"/>
        </w:rPr>
        <w:t xml:space="preserve"> considers relevant.</w:t>
      </w:r>
    </w:p>
    <w:p w14:paraId="660EB408"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5D1D8534" w14:textId="77777777" w:rsidR="006405DB" w:rsidRPr="00754FE0"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szCs w:val="24"/>
        </w:rPr>
      </w:pPr>
      <w:r w:rsidRPr="00A8356D">
        <w:rPr>
          <w:rFonts w:ascii="Times New Roman" w:hAnsi="Times New Roman" w:cs="Times New Roman"/>
          <w:sz w:val="24"/>
          <w:szCs w:val="24"/>
        </w:rPr>
        <w:t xml:space="preserve">(1A) </w:t>
      </w:r>
      <w:r w:rsidRPr="00A8356D">
        <w:rPr>
          <w:rFonts w:ascii="Times New Roman" w:hAnsi="Times New Roman" w:cs="Times New Roman"/>
          <w:sz w:val="24"/>
          <w:szCs w:val="24"/>
        </w:rPr>
        <w:tab/>
        <w:t xml:space="preserve">In determining an application for a permit, the </w:t>
      </w:r>
      <w:hyperlink r:id="rId34" w:anchor="executive_director" w:history="1">
        <w:r w:rsidRPr="00754FE0">
          <w:rPr>
            <w:rFonts w:ascii="Times New Roman" w:hAnsi="Times New Roman" w:cs="Times New Roman"/>
            <w:sz w:val="24"/>
            <w:szCs w:val="24"/>
          </w:rPr>
          <w:t>Executive Director</w:t>
        </w:r>
      </w:hyperlink>
      <w:r w:rsidRPr="00754FE0">
        <w:rPr>
          <w:rFonts w:ascii="Times New Roman" w:hAnsi="Times New Roman" w:cs="Times New Roman"/>
          <w:sz w:val="24"/>
          <w:szCs w:val="24"/>
        </w:rPr>
        <w:t xml:space="preserve"> may consider-</w:t>
      </w:r>
    </w:p>
    <w:p w14:paraId="508BF4C1" w14:textId="77777777" w:rsidR="006405DB" w:rsidRPr="00A8356D"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4397A4A"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A8356D">
        <w:rPr>
          <w:rFonts w:ascii="Times New Roman" w:hAnsi="Times New Roman" w:cs="Times New Roman"/>
          <w:sz w:val="24"/>
          <w:szCs w:val="24"/>
        </w:rPr>
        <w:t xml:space="preserve">(a)  </w:t>
      </w:r>
      <w:r w:rsidRPr="00A8356D">
        <w:rPr>
          <w:rFonts w:ascii="Times New Roman" w:hAnsi="Times New Roman" w:cs="Times New Roman"/>
          <w:sz w:val="24"/>
          <w:szCs w:val="24"/>
        </w:rPr>
        <w:tab/>
      </w:r>
      <w:r w:rsidRPr="00955E22">
        <w:rPr>
          <w:rFonts w:ascii="Times New Roman" w:hAnsi="Times New Roman" w:cs="Times New Roman"/>
          <w:sz w:val="24"/>
          <w:szCs w:val="24"/>
        </w:rPr>
        <w:t xml:space="preserve">the extent to which the application, if approved, would affect the </w:t>
      </w:r>
      <w:hyperlink r:id="rId35" w:anchor="cultural_heritage_significance" w:history="1">
        <w:r w:rsidRPr="00955E22">
          <w:rPr>
            <w:rFonts w:ascii="Times New Roman" w:hAnsi="Times New Roman" w:cs="Times New Roman"/>
            <w:sz w:val="24"/>
            <w:szCs w:val="24"/>
          </w:rPr>
          <w:t>cultural heritage significance</w:t>
        </w:r>
      </w:hyperlink>
      <w:r w:rsidRPr="00955E22">
        <w:rPr>
          <w:rFonts w:ascii="Times New Roman" w:hAnsi="Times New Roman" w:cs="Times New Roman"/>
          <w:sz w:val="24"/>
          <w:szCs w:val="24"/>
        </w:rPr>
        <w:t xml:space="preserve"> of any adjacent or neighbouring property that is -</w:t>
      </w:r>
    </w:p>
    <w:p w14:paraId="4C152B1E"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63240D9D"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s="Times New Roman"/>
          <w:sz w:val="24"/>
          <w:szCs w:val="24"/>
        </w:rPr>
      </w:pPr>
      <w:r w:rsidRPr="00955E22">
        <w:rPr>
          <w:rFonts w:ascii="Times New Roman" w:hAnsi="Times New Roman" w:cs="Times New Roman"/>
          <w:sz w:val="24"/>
          <w:szCs w:val="24"/>
        </w:rPr>
        <w:t>(i)  subject to a heritage requirement or control in the relevant planning scheme; or</w:t>
      </w:r>
    </w:p>
    <w:p w14:paraId="792B3991"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A4C6158"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55E22">
        <w:rPr>
          <w:rFonts w:ascii="Times New Roman" w:hAnsi="Times New Roman" w:cs="Times New Roman"/>
          <w:sz w:val="24"/>
          <w:szCs w:val="24"/>
        </w:rPr>
        <w:t xml:space="preserve">(ii) included in the </w:t>
      </w:r>
      <w:hyperlink r:id="rId36" w:anchor="heritage_register" w:history="1">
        <w:r w:rsidRPr="00955E22">
          <w:rPr>
            <w:rFonts w:ascii="Times New Roman" w:hAnsi="Times New Roman" w:cs="Times New Roman"/>
            <w:sz w:val="24"/>
            <w:szCs w:val="24"/>
          </w:rPr>
          <w:t>Heritage Register</w:t>
        </w:r>
      </w:hyperlink>
      <w:r w:rsidRPr="00955E22">
        <w:rPr>
          <w:rFonts w:ascii="Times New Roman" w:hAnsi="Times New Roman" w:cs="Times New Roman"/>
          <w:sz w:val="24"/>
          <w:szCs w:val="24"/>
        </w:rPr>
        <w:t>; and</w:t>
      </w:r>
    </w:p>
    <w:p w14:paraId="2F3F3593"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26F7229E" w14:textId="77777777" w:rsidR="006405DB" w:rsidRPr="00955E22" w:rsidRDefault="006405DB" w:rsidP="006405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955E22">
        <w:rPr>
          <w:rFonts w:ascii="Times New Roman" w:hAnsi="Times New Roman" w:cs="Times New Roman"/>
          <w:sz w:val="24"/>
          <w:szCs w:val="24"/>
        </w:rPr>
        <w:t xml:space="preserve"> (b)</w:t>
      </w:r>
      <w:r w:rsidRPr="00955E22">
        <w:rPr>
          <w:rFonts w:ascii="Times New Roman" w:hAnsi="Times New Roman" w:cs="Times New Roman"/>
          <w:sz w:val="24"/>
          <w:szCs w:val="24"/>
        </w:rPr>
        <w:tab/>
        <w:t>any other relevant matter.</w:t>
      </w:r>
    </w:p>
    <w:sectPr w:rsidR="006405DB" w:rsidRPr="00955E22" w:rsidSect="007A6CC0">
      <w:headerReference w:type="even" r:id="rId37"/>
      <w:headerReference w:type="default" r:id="rId38"/>
      <w:footerReference w:type="even" r:id="rId39"/>
      <w:footerReference w:type="default" r:id="rId40"/>
      <w:headerReference w:type="first" r:id="rId41"/>
      <w:footerReference w:type="first" r:id="rId42"/>
      <w:pgSz w:w="11900" w:h="16840"/>
      <w:pgMar w:top="1134" w:right="1440" w:bottom="1134" w:left="1440"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E217A" w15:done="0"/>
  <w15:commentEx w15:paraId="61572D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1B85D" w14:textId="77777777" w:rsidR="00684028" w:rsidRDefault="00684028">
      <w:r>
        <w:separator/>
      </w:r>
    </w:p>
  </w:endnote>
  <w:endnote w:type="continuationSeparator" w:id="0">
    <w:p w14:paraId="633DD5C9" w14:textId="77777777" w:rsidR="00684028" w:rsidRDefault="0068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9D8F" w14:textId="77777777" w:rsidR="001543D1" w:rsidRDefault="00154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1AA5" w14:textId="77777777" w:rsidR="001543D1" w:rsidRDefault="00216E07">
    <w:pPr>
      <w:pStyle w:val="Footer"/>
      <w:jc w:val="right"/>
    </w:pPr>
    <w:r>
      <w:fldChar w:fldCharType="begin"/>
    </w:r>
    <w:r w:rsidR="001543D1">
      <w:instrText xml:space="preserve"> PAGE   \* MERGEFORMAT </w:instrText>
    </w:r>
    <w:r>
      <w:fldChar w:fldCharType="separate"/>
    </w:r>
    <w:r w:rsidR="009577D6">
      <w:rPr>
        <w:noProof/>
      </w:rPr>
      <w:t>14</w:t>
    </w:r>
    <w:r>
      <w:rPr>
        <w:noProof/>
      </w:rPr>
      <w:fldChar w:fldCharType="end"/>
    </w:r>
  </w:p>
  <w:p w14:paraId="6B44D2FA" w14:textId="77777777" w:rsidR="001543D1" w:rsidRDefault="00154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1ACD" w14:textId="77777777" w:rsidR="001543D1" w:rsidRDefault="0015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099F8" w14:textId="77777777" w:rsidR="00684028" w:rsidRDefault="00684028">
      <w:r>
        <w:separator/>
      </w:r>
    </w:p>
  </w:footnote>
  <w:footnote w:type="continuationSeparator" w:id="0">
    <w:p w14:paraId="7219BAA0" w14:textId="77777777" w:rsidR="00684028" w:rsidRDefault="0068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062C" w14:textId="77777777" w:rsidR="001543D1" w:rsidRDefault="00154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E9A4" w14:textId="25F2187C" w:rsidR="001543D1" w:rsidRDefault="00154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4D09" w14:textId="77777777" w:rsidR="001543D1" w:rsidRDefault="0015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D43"/>
    <w:multiLevelType w:val="hybridMultilevel"/>
    <w:tmpl w:val="316E9600"/>
    <w:lvl w:ilvl="0" w:tplc="00806F0E">
      <w:start w:val="1"/>
      <w:numFmt w:val="bullet"/>
      <w:lvlText w:val=""/>
      <w:lvlJc w:val="left"/>
      <w:pPr>
        <w:ind w:left="493" w:hanging="493"/>
      </w:pPr>
      <w:rPr>
        <w:rFonts w:ascii="Symbol" w:hAnsi="Symbol" w:hint="default"/>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
    <w:nsid w:val="0AFF7CE0"/>
    <w:multiLevelType w:val="hybridMultilevel"/>
    <w:tmpl w:val="6A6050DC"/>
    <w:lvl w:ilvl="0" w:tplc="E812BAFE">
      <w:numFmt w:val="bullet"/>
      <w:lvlText w:val="-"/>
      <w:lvlJc w:val="left"/>
      <w:pPr>
        <w:ind w:left="927" w:hanging="360"/>
      </w:pPr>
      <w:rPr>
        <w:rFonts w:ascii="Times New Roman" w:eastAsia="Arial Unicode MS" w:hAnsi="Times New Roman" w:cs="Times New Roman" w:hint="default"/>
      </w:rPr>
    </w:lvl>
    <w:lvl w:ilvl="1" w:tplc="04090019" w:tentative="1">
      <w:start w:val="1"/>
      <w:numFmt w:val="bullet"/>
      <w:lvlText w:val="o"/>
      <w:lvlJc w:val="left"/>
      <w:pPr>
        <w:ind w:left="1647" w:hanging="360"/>
      </w:pPr>
      <w:rPr>
        <w:rFonts w:ascii="Courier New" w:hAnsi="Courier New" w:cs="Tahoma"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Tahoma"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Tahoma" w:hint="default"/>
      </w:rPr>
    </w:lvl>
    <w:lvl w:ilvl="8" w:tplc="0409001B" w:tentative="1">
      <w:start w:val="1"/>
      <w:numFmt w:val="bullet"/>
      <w:lvlText w:val=""/>
      <w:lvlJc w:val="left"/>
      <w:pPr>
        <w:ind w:left="6687" w:hanging="360"/>
      </w:pPr>
      <w:rPr>
        <w:rFonts w:ascii="Wingdings" w:hAnsi="Wingdings" w:hint="default"/>
      </w:rPr>
    </w:lvl>
  </w:abstractNum>
  <w:abstractNum w:abstractNumId="2">
    <w:nsid w:val="23FA70C7"/>
    <w:multiLevelType w:val="hybridMultilevel"/>
    <w:tmpl w:val="910AA7F0"/>
    <w:lvl w:ilvl="0" w:tplc="42E81F5A">
      <w:start w:val="1"/>
      <w:numFmt w:val="decimal"/>
      <w:pStyle w:val="Par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C3FD6"/>
    <w:multiLevelType w:val="hybridMultilevel"/>
    <w:tmpl w:val="67742AB8"/>
    <w:lvl w:ilvl="0" w:tplc="0C090001">
      <w:start w:val="1"/>
      <w:numFmt w:val="bullet"/>
      <w:lvlText w:val=""/>
      <w:lvlJc w:val="left"/>
      <w:pPr>
        <w:ind w:left="907" w:hanging="547"/>
      </w:pPr>
      <w:rPr>
        <w:rFonts w:ascii="Symbol" w:hAnsi="Symbo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2A7E84"/>
    <w:multiLevelType w:val="hybridMultilevel"/>
    <w:tmpl w:val="5824C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571DDE"/>
    <w:multiLevelType w:val="hybridMultilevel"/>
    <w:tmpl w:val="48425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B7C5E61"/>
    <w:multiLevelType w:val="hybridMultilevel"/>
    <w:tmpl w:val="EE12C794"/>
    <w:lvl w:ilvl="0" w:tplc="2C309DB6">
      <w:start w:val="1"/>
      <w:numFmt w:val="decimal"/>
      <w:lvlText w:val="%1."/>
      <w:lvlJc w:val="left"/>
      <w:pPr>
        <w:ind w:left="907" w:hanging="547"/>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088189C"/>
    <w:multiLevelType w:val="multilevel"/>
    <w:tmpl w:val="98BAAFA8"/>
    <w:styleLink w:val="ImportedStyle1"/>
    <w:lvl w:ilvl="0">
      <w:start w:val="53"/>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nsid w:val="60E32F9E"/>
    <w:multiLevelType w:val="hybridMultilevel"/>
    <w:tmpl w:val="0E5E6A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657924A8"/>
    <w:multiLevelType w:val="multilevel"/>
    <w:tmpl w:val="E86C1254"/>
    <w:lvl w:ilvl="0">
      <w:start w:val="1"/>
      <w:numFmt w:val="bullet"/>
      <w:lvlText w:val=""/>
      <w:lvlJc w:val="left"/>
      <w:rPr>
        <w:rFonts w:ascii="Symbol" w:hAnsi="Symbol" w:hint="default"/>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0">
    <w:nsid w:val="6720076E"/>
    <w:multiLevelType w:val="hybridMultilevel"/>
    <w:tmpl w:val="7648260A"/>
    <w:lvl w:ilvl="0" w:tplc="00806F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C00434"/>
    <w:multiLevelType w:val="hybridMultilevel"/>
    <w:tmpl w:val="D5722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315733"/>
    <w:multiLevelType w:val="hybridMultilevel"/>
    <w:tmpl w:val="20B054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10"/>
  </w:num>
  <w:num w:numId="6">
    <w:abstractNumId w:val="11"/>
  </w:num>
  <w:num w:numId="7">
    <w:abstractNumId w:val="2"/>
  </w:num>
  <w:num w:numId="8">
    <w:abstractNumId w:val="6"/>
  </w:num>
  <w:num w:numId="9">
    <w:abstractNumId w:val="4"/>
  </w:num>
  <w:num w:numId="10">
    <w:abstractNumId w:val="8"/>
  </w:num>
  <w:num w:numId="11">
    <w:abstractNumId w:val="12"/>
  </w:num>
  <w:num w:numId="12">
    <w:abstractNumId w:val="3"/>
  </w:num>
  <w:num w:numId="13">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y Moles">
    <w15:presenceInfo w15:providerId="Windows Live" w15:userId="ea1374fee8965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7C"/>
    <w:rsid w:val="00000991"/>
    <w:rsid w:val="0000122C"/>
    <w:rsid w:val="0000126D"/>
    <w:rsid w:val="000017E3"/>
    <w:rsid w:val="000018C9"/>
    <w:rsid w:val="00001A63"/>
    <w:rsid w:val="00002107"/>
    <w:rsid w:val="0000249D"/>
    <w:rsid w:val="000024C8"/>
    <w:rsid w:val="000025FB"/>
    <w:rsid w:val="00003D60"/>
    <w:rsid w:val="00005531"/>
    <w:rsid w:val="0000554C"/>
    <w:rsid w:val="00006AC2"/>
    <w:rsid w:val="00010D7C"/>
    <w:rsid w:val="00012B9F"/>
    <w:rsid w:val="000131B8"/>
    <w:rsid w:val="000153FD"/>
    <w:rsid w:val="0001583C"/>
    <w:rsid w:val="00016A5E"/>
    <w:rsid w:val="00016B98"/>
    <w:rsid w:val="00017184"/>
    <w:rsid w:val="000210BA"/>
    <w:rsid w:val="000225E8"/>
    <w:rsid w:val="0002270D"/>
    <w:rsid w:val="000228E0"/>
    <w:rsid w:val="00022E5F"/>
    <w:rsid w:val="000232F3"/>
    <w:rsid w:val="000251BE"/>
    <w:rsid w:val="000268BE"/>
    <w:rsid w:val="000313D7"/>
    <w:rsid w:val="000316EE"/>
    <w:rsid w:val="0003274E"/>
    <w:rsid w:val="000328A6"/>
    <w:rsid w:val="0003307A"/>
    <w:rsid w:val="00034F59"/>
    <w:rsid w:val="00036287"/>
    <w:rsid w:val="00037717"/>
    <w:rsid w:val="00040D4B"/>
    <w:rsid w:val="00043676"/>
    <w:rsid w:val="00043982"/>
    <w:rsid w:val="00045843"/>
    <w:rsid w:val="00045EFF"/>
    <w:rsid w:val="00046F15"/>
    <w:rsid w:val="00050F24"/>
    <w:rsid w:val="000529A7"/>
    <w:rsid w:val="00052BA5"/>
    <w:rsid w:val="00052BE8"/>
    <w:rsid w:val="000536FA"/>
    <w:rsid w:val="000549AF"/>
    <w:rsid w:val="00055613"/>
    <w:rsid w:val="00055B28"/>
    <w:rsid w:val="00056C3A"/>
    <w:rsid w:val="00057650"/>
    <w:rsid w:val="00057800"/>
    <w:rsid w:val="00057FE4"/>
    <w:rsid w:val="000614D1"/>
    <w:rsid w:val="00061C33"/>
    <w:rsid w:val="000620D3"/>
    <w:rsid w:val="000640F9"/>
    <w:rsid w:val="0006509F"/>
    <w:rsid w:val="00065255"/>
    <w:rsid w:val="00065980"/>
    <w:rsid w:val="00070599"/>
    <w:rsid w:val="00071858"/>
    <w:rsid w:val="00072D20"/>
    <w:rsid w:val="0007387C"/>
    <w:rsid w:val="00075918"/>
    <w:rsid w:val="00076021"/>
    <w:rsid w:val="00076972"/>
    <w:rsid w:val="000770D6"/>
    <w:rsid w:val="000771F2"/>
    <w:rsid w:val="000772D9"/>
    <w:rsid w:val="000801B1"/>
    <w:rsid w:val="00081AFE"/>
    <w:rsid w:val="00081B19"/>
    <w:rsid w:val="00082740"/>
    <w:rsid w:val="000831E4"/>
    <w:rsid w:val="00085F5E"/>
    <w:rsid w:val="000861F8"/>
    <w:rsid w:val="000901BE"/>
    <w:rsid w:val="00091C86"/>
    <w:rsid w:val="00092E04"/>
    <w:rsid w:val="00093952"/>
    <w:rsid w:val="00094C33"/>
    <w:rsid w:val="00095F03"/>
    <w:rsid w:val="000A0268"/>
    <w:rsid w:val="000A09BA"/>
    <w:rsid w:val="000A1E69"/>
    <w:rsid w:val="000A4266"/>
    <w:rsid w:val="000A57B9"/>
    <w:rsid w:val="000A6524"/>
    <w:rsid w:val="000B13E0"/>
    <w:rsid w:val="000B2186"/>
    <w:rsid w:val="000B3191"/>
    <w:rsid w:val="000B48F1"/>
    <w:rsid w:val="000B4E0D"/>
    <w:rsid w:val="000B5C6B"/>
    <w:rsid w:val="000B6268"/>
    <w:rsid w:val="000B7810"/>
    <w:rsid w:val="000C13DA"/>
    <w:rsid w:val="000C27DA"/>
    <w:rsid w:val="000C31CC"/>
    <w:rsid w:val="000C3FF3"/>
    <w:rsid w:val="000C68A7"/>
    <w:rsid w:val="000D0625"/>
    <w:rsid w:val="000D18A0"/>
    <w:rsid w:val="000D2CAF"/>
    <w:rsid w:val="000D58D6"/>
    <w:rsid w:val="000D768F"/>
    <w:rsid w:val="000E0BB2"/>
    <w:rsid w:val="000E0CB5"/>
    <w:rsid w:val="000E281D"/>
    <w:rsid w:val="000E4374"/>
    <w:rsid w:val="000F16F5"/>
    <w:rsid w:val="000F1B66"/>
    <w:rsid w:val="000F3262"/>
    <w:rsid w:val="000F42E8"/>
    <w:rsid w:val="000F5E85"/>
    <w:rsid w:val="000F62BE"/>
    <w:rsid w:val="000F66BF"/>
    <w:rsid w:val="000F7A66"/>
    <w:rsid w:val="00102105"/>
    <w:rsid w:val="00102937"/>
    <w:rsid w:val="00103970"/>
    <w:rsid w:val="00104009"/>
    <w:rsid w:val="00104A3B"/>
    <w:rsid w:val="00105510"/>
    <w:rsid w:val="00105C8D"/>
    <w:rsid w:val="00105CEF"/>
    <w:rsid w:val="00107BEA"/>
    <w:rsid w:val="0011021B"/>
    <w:rsid w:val="00110311"/>
    <w:rsid w:val="001119BB"/>
    <w:rsid w:val="00111EAA"/>
    <w:rsid w:val="00112676"/>
    <w:rsid w:val="00114C83"/>
    <w:rsid w:val="001152D2"/>
    <w:rsid w:val="00116636"/>
    <w:rsid w:val="001215EB"/>
    <w:rsid w:val="00121BC8"/>
    <w:rsid w:val="00121C11"/>
    <w:rsid w:val="00124384"/>
    <w:rsid w:val="0012445F"/>
    <w:rsid w:val="001252FD"/>
    <w:rsid w:val="001265E5"/>
    <w:rsid w:val="001313D7"/>
    <w:rsid w:val="00131B7B"/>
    <w:rsid w:val="00133063"/>
    <w:rsid w:val="00133DC2"/>
    <w:rsid w:val="0013440A"/>
    <w:rsid w:val="00136778"/>
    <w:rsid w:val="001368C8"/>
    <w:rsid w:val="00137044"/>
    <w:rsid w:val="001406CA"/>
    <w:rsid w:val="00142880"/>
    <w:rsid w:val="00142C02"/>
    <w:rsid w:val="00142DF5"/>
    <w:rsid w:val="001439F0"/>
    <w:rsid w:val="0014630C"/>
    <w:rsid w:val="001506CC"/>
    <w:rsid w:val="001507E8"/>
    <w:rsid w:val="00150F2C"/>
    <w:rsid w:val="00151835"/>
    <w:rsid w:val="0015264D"/>
    <w:rsid w:val="00152AD5"/>
    <w:rsid w:val="001543D1"/>
    <w:rsid w:val="00155219"/>
    <w:rsid w:val="00155E83"/>
    <w:rsid w:val="001603F8"/>
    <w:rsid w:val="00160BBB"/>
    <w:rsid w:val="00160E72"/>
    <w:rsid w:val="00160E78"/>
    <w:rsid w:val="001624C7"/>
    <w:rsid w:val="00162FCF"/>
    <w:rsid w:val="00163784"/>
    <w:rsid w:val="001642EF"/>
    <w:rsid w:val="00164492"/>
    <w:rsid w:val="00165F73"/>
    <w:rsid w:val="00166C2A"/>
    <w:rsid w:val="00166EC1"/>
    <w:rsid w:val="00170834"/>
    <w:rsid w:val="00170A35"/>
    <w:rsid w:val="00172F20"/>
    <w:rsid w:val="001732FF"/>
    <w:rsid w:val="0017416C"/>
    <w:rsid w:val="001775A0"/>
    <w:rsid w:val="001803A4"/>
    <w:rsid w:val="001828FF"/>
    <w:rsid w:val="00183FDC"/>
    <w:rsid w:val="00184D2D"/>
    <w:rsid w:val="00184EEF"/>
    <w:rsid w:val="00185099"/>
    <w:rsid w:val="0018618E"/>
    <w:rsid w:val="00186404"/>
    <w:rsid w:val="00187804"/>
    <w:rsid w:val="001929A8"/>
    <w:rsid w:val="00193184"/>
    <w:rsid w:val="0019398E"/>
    <w:rsid w:val="00195D21"/>
    <w:rsid w:val="001966BA"/>
    <w:rsid w:val="00196738"/>
    <w:rsid w:val="001971C2"/>
    <w:rsid w:val="001A0F0F"/>
    <w:rsid w:val="001A3185"/>
    <w:rsid w:val="001A326B"/>
    <w:rsid w:val="001A3EFA"/>
    <w:rsid w:val="001A4615"/>
    <w:rsid w:val="001A4A2E"/>
    <w:rsid w:val="001A54C0"/>
    <w:rsid w:val="001A64BF"/>
    <w:rsid w:val="001A660F"/>
    <w:rsid w:val="001A6DBC"/>
    <w:rsid w:val="001B0209"/>
    <w:rsid w:val="001B11FF"/>
    <w:rsid w:val="001B4193"/>
    <w:rsid w:val="001B6F87"/>
    <w:rsid w:val="001B7960"/>
    <w:rsid w:val="001C165D"/>
    <w:rsid w:val="001C1C6B"/>
    <w:rsid w:val="001C221F"/>
    <w:rsid w:val="001C2A64"/>
    <w:rsid w:val="001C2E8E"/>
    <w:rsid w:val="001C5176"/>
    <w:rsid w:val="001C5380"/>
    <w:rsid w:val="001C5E02"/>
    <w:rsid w:val="001C69A4"/>
    <w:rsid w:val="001D1001"/>
    <w:rsid w:val="001D1080"/>
    <w:rsid w:val="001D194D"/>
    <w:rsid w:val="001D1BD6"/>
    <w:rsid w:val="001D2BAE"/>
    <w:rsid w:val="001D2FE4"/>
    <w:rsid w:val="001D4AAE"/>
    <w:rsid w:val="001D4EB1"/>
    <w:rsid w:val="001D593E"/>
    <w:rsid w:val="001D59A6"/>
    <w:rsid w:val="001D5CDB"/>
    <w:rsid w:val="001D74D5"/>
    <w:rsid w:val="001E13B5"/>
    <w:rsid w:val="001E19EB"/>
    <w:rsid w:val="001E22AB"/>
    <w:rsid w:val="001E4A94"/>
    <w:rsid w:val="001E55B9"/>
    <w:rsid w:val="001E578C"/>
    <w:rsid w:val="001E6ADC"/>
    <w:rsid w:val="001E6C24"/>
    <w:rsid w:val="001F1001"/>
    <w:rsid w:val="001F1587"/>
    <w:rsid w:val="001F1C55"/>
    <w:rsid w:val="001F21BB"/>
    <w:rsid w:val="001F3E33"/>
    <w:rsid w:val="001F4A65"/>
    <w:rsid w:val="00200CCA"/>
    <w:rsid w:val="002013BB"/>
    <w:rsid w:val="00201941"/>
    <w:rsid w:val="00203DC3"/>
    <w:rsid w:val="002066BF"/>
    <w:rsid w:val="00206960"/>
    <w:rsid w:val="00207022"/>
    <w:rsid w:val="0020733B"/>
    <w:rsid w:val="0021254E"/>
    <w:rsid w:val="00212FA1"/>
    <w:rsid w:val="00216E07"/>
    <w:rsid w:val="0021793A"/>
    <w:rsid w:val="00220FB3"/>
    <w:rsid w:val="002241D5"/>
    <w:rsid w:val="00226135"/>
    <w:rsid w:val="00226BFB"/>
    <w:rsid w:val="00226D8D"/>
    <w:rsid w:val="0022759F"/>
    <w:rsid w:val="002276D0"/>
    <w:rsid w:val="002305EC"/>
    <w:rsid w:val="00232E67"/>
    <w:rsid w:val="00232ED8"/>
    <w:rsid w:val="002331CF"/>
    <w:rsid w:val="002340CC"/>
    <w:rsid w:val="00234A94"/>
    <w:rsid w:val="002401A4"/>
    <w:rsid w:val="002409CD"/>
    <w:rsid w:val="00240B62"/>
    <w:rsid w:val="0024166E"/>
    <w:rsid w:val="00242A0E"/>
    <w:rsid w:val="00242A67"/>
    <w:rsid w:val="002441FB"/>
    <w:rsid w:val="0024477F"/>
    <w:rsid w:val="00244C27"/>
    <w:rsid w:val="0024627D"/>
    <w:rsid w:val="00246BED"/>
    <w:rsid w:val="00251545"/>
    <w:rsid w:val="00251C95"/>
    <w:rsid w:val="00252005"/>
    <w:rsid w:val="002526EB"/>
    <w:rsid w:val="00255489"/>
    <w:rsid w:val="00261372"/>
    <w:rsid w:val="00261D88"/>
    <w:rsid w:val="002630BF"/>
    <w:rsid w:val="002647BB"/>
    <w:rsid w:val="00264BF6"/>
    <w:rsid w:val="002660D9"/>
    <w:rsid w:val="002675F7"/>
    <w:rsid w:val="0027041D"/>
    <w:rsid w:val="0027207C"/>
    <w:rsid w:val="0027328F"/>
    <w:rsid w:val="00275403"/>
    <w:rsid w:val="002771F7"/>
    <w:rsid w:val="00277663"/>
    <w:rsid w:val="002776A7"/>
    <w:rsid w:val="00277B56"/>
    <w:rsid w:val="00277CBA"/>
    <w:rsid w:val="00277E39"/>
    <w:rsid w:val="00280782"/>
    <w:rsid w:val="00280E8D"/>
    <w:rsid w:val="00281467"/>
    <w:rsid w:val="00281999"/>
    <w:rsid w:val="00281E5A"/>
    <w:rsid w:val="00282212"/>
    <w:rsid w:val="00282287"/>
    <w:rsid w:val="0028262A"/>
    <w:rsid w:val="0028294A"/>
    <w:rsid w:val="00284316"/>
    <w:rsid w:val="002846A5"/>
    <w:rsid w:val="002853F0"/>
    <w:rsid w:val="00285FA9"/>
    <w:rsid w:val="00286054"/>
    <w:rsid w:val="0029005C"/>
    <w:rsid w:val="002912E6"/>
    <w:rsid w:val="002916CF"/>
    <w:rsid w:val="00293DA3"/>
    <w:rsid w:val="00294840"/>
    <w:rsid w:val="0029581D"/>
    <w:rsid w:val="002A0084"/>
    <w:rsid w:val="002A0BB8"/>
    <w:rsid w:val="002A3A47"/>
    <w:rsid w:val="002A3FDA"/>
    <w:rsid w:val="002A56E1"/>
    <w:rsid w:val="002A6AD4"/>
    <w:rsid w:val="002A751D"/>
    <w:rsid w:val="002A79FB"/>
    <w:rsid w:val="002B031C"/>
    <w:rsid w:val="002B077B"/>
    <w:rsid w:val="002B29BE"/>
    <w:rsid w:val="002B5DB1"/>
    <w:rsid w:val="002B5FC4"/>
    <w:rsid w:val="002B61F4"/>
    <w:rsid w:val="002B6D9C"/>
    <w:rsid w:val="002B7DDA"/>
    <w:rsid w:val="002C0C55"/>
    <w:rsid w:val="002C0C91"/>
    <w:rsid w:val="002C17AC"/>
    <w:rsid w:val="002C2121"/>
    <w:rsid w:val="002C3AB3"/>
    <w:rsid w:val="002C3CA1"/>
    <w:rsid w:val="002C4718"/>
    <w:rsid w:val="002C499A"/>
    <w:rsid w:val="002C4F6E"/>
    <w:rsid w:val="002D167D"/>
    <w:rsid w:val="002D21A9"/>
    <w:rsid w:val="002D2525"/>
    <w:rsid w:val="002D2F9E"/>
    <w:rsid w:val="002D515E"/>
    <w:rsid w:val="002D6119"/>
    <w:rsid w:val="002E15EE"/>
    <w:rsid w:val="002E1DE0"/>
    <w:rsid w:val="002E24E9"/>
    <w:rsid w:val="002E2669"/>
    <w:rsid w:val="002E2CC2"/>
    <w:rsid w:val="002E46C7"/>
    <w:rsid w:val="002E47F7"/>
    <w:rsid w:val="002E4C26"/>
    <w:rsid w:val="002E4DF1"/>
    <w:rsid w:val="002F00F5"/>
    <w:rsid w:val="002F0B82"/>
    <w:rsid w:val="002F2406"/>
    <w:rsid w:val="002F2A64"/>
    <w:rsid w:val="002F2F1D"/>
    <w:rsid w:val="002F3098"/>
    <w:rsid w:val="002F507E"/>
    <w:rsid w:val="002F5804"/>
    <w:rsid w:val="002F599F"/>
    <w:rsid w:val="002F59DD"/>
    <w:rsid w:val="002F6EE2"/>
    <w:rsid w:val="002F7611"/>
    <w:rsid w:val="002F7882"/>
    <w:rsid w:val="002F7F48"/>
    <w:rsid w:val="00300FBB"/>
    <w:rsid w:val="00303987"/>
    <w:rsid w:val="00303C75"/>
    <w:rsid w:val="003044BB"/>
    <w:rsid w:val="00304532"/>
    <w:rsid w:val="00305126"/>
    <w:rsid w:val="00306736"/>
    <w:rsid w:val="00307C07"/>
    <w:rsid w:val="00310DD4"/>
    <w:rsid w:val="00311EF7"/>
    <w:rsid w:val="00313D37"/>
    <w:rsid w:val="00314478"/>
    <w:rsid w:val="00314538"/>
    <w:rsid w:val="00314988"/>
    <w:rsid w:val="0031571C"/>
    <w:rsid w:val="003162A5"/>
    <w:rsid w:val="00317483"/>
    <w:rsid w:val="00321D9F"/>
    <w:rsid w:val="00322071"/>
    <w:rsid w:val="003231B1"/>
    <w:rsid w:val="003258FA"/>
    <w:rsid w:val="00325C9F"/>
    <w:rsid w:val="00325E54"/>
    <w:rsid w:val="00326716"/>
    <w:rsid w:val="00326D33"/>
    <w:rsid w:val="00326FB1"/>
    <w:rsid w:val="003304A7"/>
    <w:rsid w:val="003309F3"/>
    <w:rsid w:val="00331AE3"/>
    <w:rsid w:val="00333660"/>
    <w:rsid w:val="00335F80"/>
    <w:rsid w:val="003362DD"/>
    <w:rsid w:val="00343785"/>
    <w:rsid w:val="00345904"/>
    <w:rsid w:val="00346431"/>
    <w:rsid w:val="0034699E"/>
    <w:rsid w:val="00352784"/>
    <w:rsid w:val="00353296"/>
    <w:rsid w:val="00353E77"/>
    <w:rsid w:val="00353FEC"/>
    <w:rsid w:val="00355099"/>
    <w:rsid w:val="0035599F"/>
    <w:rsid w:val="003559BD"/>
    <w:rsid w:val="00357786"/>
    <w:rsid w:val="003579E5"/>
    <w:rsid w:val="00357B60"/>
    <w:rsid w:val="0036050B"/>
    <w:rsid w:val="00360555"/>
    <w:rsid w:val="00360673"/>
    <w:rsid w:val="00361713"/>
    <w:rsid w:val="003631D0"/>
    <w:rsid w:val="00364EB3"/>
    <w:rsid w:val="00365EEE"/>
    <w:rsid w:val="00365F81"/>
    <w:rsid w:val="00367F93"/>
    <w:rsid w:val="00370A01"/>
    <w:rsid w:val="00372EA3"/>
    <w:rsid w:val="003741B5"/>
    <w:rsid w:val="00376606"/>
    <w:rsid w:val="00377C6A"/>
    <w:rsid w:val="00380152"/>
    <w:rsid w:val="0038044F"/>
    <w:rsid w:val="00380982"/>
    <w:rsid w:val="00381291"/>
    <w:rsid w:val="00384C84"/>
    <w:rsid w:val="00385079"/>
    <w:rsid w:val="003878AB"/>
    <w:rsid w:val="00390B21"/>
    <w:rsid w:val="00390D7E"/>
    <w:rsid w:val="00391136"/>
    <w:rsid w:val="00393286"/>
    <w:rsid w:val="00393A59"/>
    <w:rsid w:val="00394EC1"/>
    <w:rsid w:val="0039628A"/>
    <w:rsid w:val="00396527"/>
    <w:rsid w:val="00396C3A"/>
    <w:rsid w:val="00397346"/>
    <w:rsid w:val="00397AE6"/>
    <w:rsid w:val="003A0053"/>
    <w:rsid w:val="003A0600"/>
    <w:rsid w:val="003A08C2"/>
    <w:rsid w:val="003A10AC"/>
    <w:rsid w:val="003A212A"/>
    <w:rsid w:val="003A2565"/>
    <w:rsid w:val="003A2C45"/>
    <w:rsid w:val="003A632E"/>
    <w:rsid w:val="003A665C"/>
    <w:rsid w:val="003A6C9E"/>
    <w:rsid w:val="003A7107"/>
    <w:rsid w:val="003A77FA"/>
    <w:rsid w:val="003A7D6C"/>
    <w:rsid w:val="003B02FB"/>
    <w:rsid w:val="003B06A9"/>
    <w:rsid w:val="003B0E0A"/>
    <w:rsid w:val="003B1974"/>
    <w:rsid w:val="003B1DE3"/>
    <w:rsid w:val="003B2418"/>
    <w:rsid w:val="003B30A9"/>
    <w:rsid w:val="003B3A7F"/>
    <w:rsid w:val="003B40B6"/>
    <w:rsid w:val="003B58F0"/>
    <w:rsid w:val="003B66C1"/>
    <w:rsid w:val="003B6DAF"/>
    <w:rsid w:val="003B701B"/>
    <w:rsid w:val="003C047F"/>
    <w:rsid w:val="003C207F"/>
    <w:rsid w:val="003C23A5"/>
    <w:rsid w:val="003C2800"/>
    <w:rsid w:val="003C2833"/>
    <w:rsid w:val="003C3716"/>
    <w:rsid w:val="003C614A"/>
    <w:rsid w:val="003C7C78"/>
    <w:rsid w:val="003D1376"/>
    <w:rsid w:val="003D22FA"/>
    <w:rsid w:val="003D3207"/>
    <w:rsid w:val="003D39AC"/>
    <w:rsid w:val="003D39F6"/>
    <w:rsid w:val="003D3CD0"/>
    <w:rsid w:val="003D41A9"/>
    <w:rsid w:val="003D54B7"/>
    <w:rsid w:val="003D59C1"/>
    <w:rsid w:val="003D7487"/>
    <w:rsid w:val="003E06CC"/>
    <w:rsid w:val="003E114D"/>
    <w:rsid w:val="003E120D"/>
    <w:rsid w:val="003E2617"/>
    <w:rsid w:val="003E4D4B"/>
    <w:rsid w:val="003E6485"/>
    <w:rsid w:val="003E69EC"/>
    <w:rsid w:val="003E7865"/>
    <w:rsid w:val="003E7A62"/>
    <w:rsid w:val="003F4002"/>
    <w:rsid w:val="003F5025"/>
    <w:rsid w:val="0040139C"/>
    <w:rsid w:val="00401D96"/>
    <w:rsid w:val="004040AF"/>
    <w:rsid w:val="00404E42"/>
    <w:rsid w:val="00406095"/>
    <w:rsid w:val="0041016D"/>
    <w:rsid w:val="00411FBD"/>
    <w:rsid w:val="0041367C"/>
    <w:rsid w:val="00415016"/>
    <w:rsid w:val="00417FE3"/>
    <w:rsid w:val="004217F3"/>
    <w:rsid w:val="00422CC6"/>
    <w:rsid w:val="00422E77"/>
    <w:rsid w:val="00423638"/>
    <w:rsid w:val="00424067"/>
    <w:rsid w:val="004246FE"/>
    <w:rsid w:val="004249D1"/>
    <w:rsid w:val="004273CA"/>
    <w:rsid w:val="004277FE"/>
    <w:rsid w:val="00430A6E"/>
    <w:rsid w:val="00430C01"/>
    <w:rsid w:val="00430D83"/>
    <w:rsid w:val="00430F6B"/>
    <w:rsid w:val="00431928"/>
    <w:rsid w:val="00431DDF"/>
    <w:rsid w:val="00432DBC"/>
    <w:rsid w:val="0043323A"/>
    <w:rsid w:val="00437C61"/>
    <w:rsid w:val="00441C1B"/>
    <w:rsid w:val="00442DDC"/>
    <w:rsid w:val="0044311D"/>
    <w:rsid w:val="00443602"/>
    <w:rsid w:val="00443B7C"/>
    <w:rsid w:val="0044500C"/>
    <w:rsid w:val="00446F26"/>
    <w:rsid w:val="00447966"/>
    <w:rsid w:val="004512E6"/>
    <w:rsid w:val="00451361"/>
    <w:rsid w:val="00454728"/>
    <w:rsid w:val="00456EE9"/>
    <w:rsid w:val="004578AF"/>
    <w:rsid w:val="0046027D"/>
    <w:rsid w:val="004604C9"/>
    <w:rsid w:val="00462FFA"/>
    <w:rsid w:val="00463668"/>
    <w:rsid w:val="00465209"/>
    <w:rsid w:val="0046640F"/>
    <w:rsid w:val="00471EAA"/>
    <w:rsid w:val="0047417D"/>
    <w:rsid w:val="004774D6"/>
    <w:rsid w:val="0048047D"/>
    <w:rsid w:val="00481E7B"/>
    <w:rsid w:val="00483433"/>
    <w:rsid w:val="00484FC4"/>
    <w:rsid w:val="00486325"/>
    <w:rsid w:val="0048638A"/>
    <w:rsid w:val="00486580"/>
    <w:rsid w:val="0048739D"/>
    <w:rsid w:val="00487DC2"/>
    <w:rsid w:val="00490CF9"/>
    <w:rsid w:val="00490DD0"/>
    <w:rsid w:val="00491A12"/>
    <w:rsid w:val="00492BA4"/>
    <w:rsid w:val="00493370"/>
    <w:rsid w:val="004936EE"/>
    <w:rsid w:val="004939CE"/>
    <w:rsid w:val="004947BB"/>
    <w:rsid w:val="004A3683"/>
    <w:rsid w:val="004A39F2"/>
    <w:rsid w:val="004A4A19"/>
    <w:rsid w:val="004A5BCE"/>
    <w:rsid w:val="004A62C4"/>
    <w:rsid w:val="004A6A6B"/>
    <w:rsid w:val="004B07DD"/>
    <w:rsid w:val="004B1A93"/>
    <w:rsid w:val="004B28D3"/>
    <w:rsid w:val="004B3A18"/>
    <w:rsid w:val="004B407F"/>
    <w:rsid w:val="004B59C1"/>
    <w:rsid w:val="004B6D01"/>
    <w:rsid w:val="004C1C5D"/>
    <w:rsid w:val="004C232B"/>
    <w:rsid w:val="004C5020"/>
    <w:rsid w:val="004D653A"/>
    <w:rsid w:val="004E0F7E"/>
    <w:rsid w:val="004E36B0"/>
    <w:rsid w:val="004E42FD"/>
    <w:rsid w:val="004E4F5A"/>
    <w:rsid w:val="004E683D"/>
    <w:rsid w:val="004E689A"/>
    <w:rsid w:val="004E7579"/>
    <w:rsid w:val="004E7F6A"/>
    <w:rsid w:val="004F0069"/>
    <w:rsid w:val="004F030A"/>
    <w:rsid w:val="004F1B8B"/>
    <w:rsid w:val="004F21B3"/>
    <w:rsid w:val="004F3FF9"/>
    <w:rsid w:val="004F4807"/>
    <w:rsid w:val="004F48CD"/>
    <w:rsid w:val="004F5C46"/>
    <w:rsid w:val="004F6B24"/>
    <w:rsid w:val="004F73C2"/>
    <w:rsid w:val="004F7FC1"/>
    <w:rsid w:val="00500E71"/>
    <w:rsid w:val="00501112"/>
    <w:rsid w:val="00502CD3"/>
    <w:rsid w:val="00502E20"/>
    <w:rsid w:val="00505B22"/>
    <w:rsid w:val="005064E3"/>
    <w:rsid w:val="005067F5"/>
    <w:rsid w:val="005076F1"/>
    <w:rsid w:val="00507D5C"/>
    <w:rsid w:val="00512B4E"/>
    <w:rsid w:val="0051476F"/>
    <w:rsid w:val="00515253"/>
    <w:rsid w:val="00517F2B"/>
    <w:rsid w:val="005239D6"/>
    <w:rsid w:val="00523B8B"/>
    <w:rsid w:val="0052410C"/>
    <w:rsid w:val="0052521D"/>
    <w:rsid w:val="00525A7A"/>
    <w:rsid w:val="00526E8B"/>
    <w:rsid w:val="00530574"/>
    <w:rsid w:val="00530E41"/>
    <w:rsid w:val="005317CB"/>
    <w:rsid w:val="00531F25"/>
    <w:rsid w:val="005324BE"/>
    <w:rsid w:val="005324D3"/>
    <w:rsid w:val="00533292"/>
    <w:rsid w:val="00533F50"/>
    <w:rsid w:val="0053498F"/>
    <w:rsid w:val="0053635B"/>
    <w:rsid w:val="005375AF"/>
    <w:rsid w:val="0054007A"/>
    <w:rsid w:val="00544767"/>
    <w:rsid w:val="0054620B"/>
    <w:rsid w:val="0054620E"/>
    <w:rsid w:val="00546991"/>
    <w:rsid w:val="00546F23"/>
    <w:rsid w:val="005478E1"/>
    <w:rsid w:val="00547A4F"/>
    <w:rsid w:val="005503FD"/>
    <w:rsid w:val="00551404"/>
    <w:rsid w:val="00552527"/>
    <w:rsid w:val="005527B9"/>
    <w:rsid w:val="005535C2"/>
    <w:rsid w:val="00553C11"/>
    <w:rsid w:val="00554254"/>
    <w:rsid w:val="00554381"/>
    <w:rsid w:val="0055593E"/>
    <w:rsid w:val="005559E5"/>
    <w:rsid w:val="00556BFA"/>
    <w:rsid w:val="0056101F"/>
    <w:rsid w:val="005626F5"/>
    <w:rsid w:val="00563B3B"/>
    <w:rsid w:val="00565415"/>
    <w:rsid w:val="00570A83"/>
    <w:rsid w:val="00571236"/>
    <w:rsid w:val="005712DD"/>
    <w:rsid w:val="005738AF"/>
    <w:rsid w:val="0057411E"/>
    <w:rsid w:val="00574303"/>
    <w:rsid w:val="005744EE"/>
    <w:rsid w:val="005748CC"/>
    <w:rsid w:val="005752FA"/>
    <w:rsid w:val="005762C7"/>
    <w:rsid w:val="00576A86"/>
    <w:rsid w:val="00577E14"/>
    <w:rsid w:val="005804A8"/>
    <w:rsid w:val="005838F6"/>
    <w:rsid w:val="00584F01"/>
    <w:rsid w:val="00584F4D"/>
    <w:rsid w:val="00585D6C"/>
    <w:rsid w:val="00586736"/>
    <w:rsid w:val="00586C0A"/>
    <w:rsid w:val="00586C5A"/>
    <w:rsid w:val="00587A01"/>
    <w:rsid w:val="00587C27"/>
    <w:rsid w:val="005909F0"/>
    <w:rsid w:val="005911FA"/>
    <w:rsid w:val="00591F77"/>
    <w:rsid w:val="005920AF"/>
    <w:rsid w:val="005922B9"/>
    <w:rsid w:val="00592792"/>
    <w:rsid w:val="00593269"/>
    <w:rsid w:val="005956AB"/>
    <w:rsid w:val="00595790"/>
    <w:rsid w:val="005958D8"/>
    <w:rsid w:val="00596149"/>
    <w:rsid w:val="005966BD"/>
    <w:rsid w:val="0059685A"/>
    <w:rsid w:val="005971D3"/>
    <w:rsid w:val="00597769"/>
    <w:rsid w:val="005A08C1"/>
    <w:rsid w:val="005A0D78"/>
    <w:rsid w:val="005A2135"/>
    <w:rsid w:val="005A2839"/>
    <w:rsid w:val="005A2D5C"/>
    <w:rsid w:val="005A33DD"/>
    <w:rsid w:val="005B051C"/>
    <w:rsid w:val="005B0D15"/>
    <w:rsid w:val="005B0F46"/>
    <w:rsid w:val="005B1A7C"/>
    <w:rsid w:val="005B315F"/>
    <w:rsid w:val="005B4C06"/>
    <w:rsid w:val="005B50C1"/>
    <w:rsid w:val="005B6AB8"/>
    <w:rsid w:val="005B6AF4"/>
    <w:rsid w:val="005C4078"/>
    <w:rsid w:val="005C7036"/>
    <w:rsid w:val="005C7236"/>
    <w:rsid w:val="005C758C"/>
    <w:rsid w:val="005D23DC"/>
    <w:rsid w:val="005D37C3"/>
    <w:rsid w:val="005D4579"/>
    <w:rsid w:val="005D4704"/>
    <w:rsid w:val="005D50BA"/>
    <w:rsid w:val="005D5AF1"/>
    <w:rsid w:val="005D7F87"/>
    <w:rsid w:val="005E0183"/>
    <w:rsid w:val="005E1320"/>
    <w:rsid w:val="005E3443"/>
    <w:rsid w:val="005E4AA8"/>
    <w:rsid w:val="005E5AC2"/>
    <w:rsid w:val="005E7247"/>
    <w:rsid w:val="005E73F0"/>
    <w:rsid w:val="005F147E"/>
    <w:rsid w:val="005F3DB9"/>
    <w:rsid w:val="005F424D"/>
    <w:rsid w:val="005F61A7"/>
    <w:rsid w:val="005F7BF2"/>
    <w:rsid w:val="006028A2"/>
    <w:rsid w:val="00602FDC"/>
    <w:rsid w:val="006032AB"/>
    <w:rsid w:val="006032E9"/>
    <w:rsid w:val="006043BA"/>
    <w:rsid w:val="00606A8F"/>
    <w:rsid w:val="00606C79"/>
    <w:rsid w:val="00606F45"/>
    <w:rsid w:val="006119B7"/>
    <w:rsid w:val="00611D57"/>
    <w:rsid w:val="00612401"/>
    <w:rsid w:val="006131D1"/>
    <w:rsid w:val="0061488D"/>
    <w:rsid w:val="00614A2B"/>
    <w:rsid w:val="006200FF"/>
    <w:rsid w:val="00620C1A"/>
    <w:rsid w:val="0062207C"/>
    <w:rsid w:val="00622314"/>
    <w:rsid w:val="006234E0"/>
    <w:rsid w:val="00623C7C"/>
    <w:rsid w:val="00626A62"/>
    <w:rsid w:val="00627359"/>
    <w:rsid w:val="00631A9A"/>
    <w:rsid w:val="00631F27"/>
    <w:rsid w:val="00632406"/>
    <w:rsid w:val="00632CC0"/>
    <w:rsid w:val="00634417"/>
    <w:rsid w:val="006351A3"/>
    <w:rsid w:val="00635D6B"/>
    <w:rsid w:val="00635DCA"/>
    <w:rsid w:val="00636AB8"/>
    <w:rsid w:val="006405DB"/>
    <w:rsid w:val="00642468"/>
    <w:rsid w:val="00643912"/>
    <w:rsid w:val="00643C90"/>
    <w:rsid w:val="0064419E"/>
    <w:rsid w:val="00645447"/>
    <w:rsid w:val="006460C1"/>
    <w:rsid w:val="0064785A"/>
    <w:rsid w:val="00647DD2"/>
    <w:rsid w:val="00651294"/>
    <w:rsid w:val="006518D7"/>
    <w:rsid w:val="0065192C"/>
    <w:rsid w:val="006525D5"/>
    <w:rsid w:val="00652718"/>
    <w:rsid w:val="0065387C"/>
    <w:rsid w:val="006542D2"/>
    <w:rsid w:val="00654738"/>
    <w:rsid w:val="0065494B"/>
    <w:rsid w:val="00654E61"/>
    <w:rsid w:val="00654EC8"/>
    <w:rsid w:val="0065586F"/>
    <w:rsid w:val="00655B62"/>
    <w:rsid w:val="00656A30"/>
    <w:rsid w:val="006576BE"/>
    <w:rsid w:val="00657D86"/>
    <w:rsid w:val="00660F84"/>
    <w:rsid w:val="00661935"/>
    <w:rsid w:val="00662174"/>
    <w:rsid w:val="0066273F"/>
    <w:rsid w:val="00663DF1"/>
    <w:rsid w:val="00664105"/>
    <w:rsid w:val="0066450D"/>
    <w:rsid w:val="00664C56"/>
    <w:rsid w:val="00665067"/>
    <w:rsid w:val="00667F16"/>
    <w:rsid w:val="00672AEC"/>
    <w:rsid w:val="00672C98"/>
    <w:rsid w:val="0067362B"/>
    <w:rsid w:val="00675B92"/>
    <w:rsid w:val="00675FF4"/>
    <w:rsid w:val="006778FE"/>
    <w:rsid w:val="006809E3"/>
    <w:rsid w:val="0068121A"/>
    <w:rsid w:val="00681A6F"/>
    <w:rsid w:val="00681F72"/>
    <w:rsid w:val="006828A3"/>
    <w:rsid w:val="00682F24"/>
    <w:rsid w:val="00683A09"/>
    <w:rsid w:val="00683A3C"/>
    <w:rsid w:val="00684028"/>
    <w:rsid w:val="006852BE"/>
    <w:rsid w:val="00686460"/>
    <w:rsid w:val="0068658C"/>
    <w:rsid w:val="00690586"/>
    <w:rsid w:val="0069122A"/>
    <w:rsid w:val="00691384"/>
    <w:rsid w:val="006914B3"/>
    <w:rsid w:val="00692387"/>
    <w:rsid w:val="00692A6C"/>
    <w:rsid w:val="006935E8"/>
    <w:rsid w:val="006953AA"/>
    <w:rsid w:val="006959D7"/>
    <w:rsid w:val="00696FDB"/>
    <w:rsid w:val="006A07D2"/>
    <w:rsid w:val="006A09E9"/>
    <w:rsid w:val="006A1FCA"/>
    <w:rsid w:val="006A2EF9"/>
    <w:rsid w:val="006A42C7"/>
    <w:rsid w:val="006A45FC"/>
    <w:rsid w:val="006A4B1F"/>
    <w:rsid w:val="006A6049"/>
    <w:rsid w:val="006A67C2"/>
    <w:rsid w:val="006A68D0"/>
    <w:rsid w:val="006A71B3"/>
    <w:rsid w:val="006B0FA2"/>
    <w:rsid w:val="006B30D2"/>
    <w:rsid w:val="006B4A33"/>
    <w:rsid w:val="006B5B49"/>
    <w:rsid w:val="006B68C3"/>
    <w:rsid w:val="006B6DEA"/>
    <w:rsid w:val="006C2275"/>
    <w:rsid w:val="006C4301"/>
    <w:rsid w:val="006C5907"/>
    <w:rsid w:val="006C6C43"/>
    <w:rsid w:val="006C6E48"/>
    <w:rsid w:val="006C72AF"/>
    <w:rsid w:val="006C732A"/>
    <w:rsid w:val="006C7C3F"/>
    <w:rsid w:val="006C7EF6"/>
    <w:rsid w:val="006D392C"/>
    <w:rsid w:val="006D47A7"/>
    <w:rsid w:val="006D49DF"/>
    <w:rsid w:val="006D4D1B"/>
    <w:rsid w:val="006D4F63"/>
    <w:rsid w:val="006D4FEE"/>
    <w:rsid w:val="006D643D"/>
    <w:rsid w:val="006D714B"/>
    <w:rsid w:val="006D7710"/>
    <w:rsid w:val="006E159E"/>
    <w:rsid w:val="006E211A"/>
    <w:rsid w:val="006E224C"/>
    <w:rsid w:val="006E3DAE"/>
    <w:rsid w:val="006E46E7"/>
    <w:rsid w:val="006E4846"/>
    <w:rsid w:val="006E5720"/>
    <w:rsid w:val="006E5C74"/>
    <w:rsid w:val="006E6213"/>
    <w:rsid w:val="006F0210"/>
    <w:rsid w:val="006F32BE"/>
    <w:rsid w:val="006F3B6B"/>
    <w:rsid w:val="006F41BE"/>
    <w:rsid w:val="006F4AE6"/>
    <w:rsid w:val="00701DF7"/>
    <w:rsid w:val="00702088"/>
    <w:rsid w:val="007049E0"/>
    <w:rsid w:val="00705127"/>
    <w:rsid w:val="0070698C"/>
    <w:rsid w:val="00706E7C"/>
    <w:rsid w:val="00707C9F"/>
    <w:rsid w:val="007113DB"/>
    <w:rsid w:val="00711CCE"/>
    <w:rsid w:val="0071207A"/>
    <w:rsid w:val="00715C84"/>
    <w:rsid w:val="0071616A"/>
    <w:rsid w:val="007165E3"/>
    <w:rsid w:val="0071736B"/>
    <w:rsid w:val="00717613"/>
    <w:rsid w:val="00717CC7"/>
    <w:rsid w:val="00723B25"/>
    <w:rsid w:val="00724823"/>
    <w:rsid w:val="0072529C"/>
    <w:rsid w:val="00725B07"/>
    <w:rsid w:val="00726604"/>
    <w:rsid w:val="007269C4"/>
    <w:rsid w:val="00726C7E"/>
    <w:rsid w:val="007272C1"/>
    <w:rsid w:val="0072758A"/>
    <w:rsid w:val="0072790D"/>
    <w:rsid w:val="00727EA1"/>
    <w:rsid w:val="00730F91"/>
    <w:rsid w:val="00732C15"/>
    <w:rsid w:val="00733371"/>
    <w:rsid w:val="00733452"/>
    <w:rsid w:val="00733ADE"/>
    <w:rsid w:val="00734572"/>
    <w:rsid w:val="00734615"/>
    <w:rsid w:val="00734F28"/>
    <w:rsid w:val="0073681C"/>
    <w:rsid w:val="00736C70"/>
    <w:rsid w:val="0074029A"/>
    <w:rsid w:val="007406AB"/>
    <w:rsid w:val="00742853"/>
    <w:rsid w:val="0074322F"/>
    <w:rsid w:val="00745F0F"/>
    <w:rsid w:val="00746AC9"/>
    <w:rsid w:val="00747AF4"/>
    <w:rsid w:val="00750454"/>
    <w:rsid w:val="007506E4"/>
    <w:rsid w:val="00751997"/>
    <w:rsid w:val="0075221F"/>
    <w:rsid w:val="00753B00"/>
    <w:rsid w:val="007548B2"/>
    <w:rsid w:val="00754FE0"/>
    <w:rsid w:val="007551FB"/>
    <w:rsid w:val="0075576C"/>
    <w:rsid w:val="0076037E"/>
    <w:rsid w:val="00762097"/>
    <w:rsid w:val="0076279D"/>
    <w:rsid w:val="0076444C"/>
    <w:rsid w:val="00767FC3"/>
    <w:rsid w:val="0077245D"/>
    <w:rsid w:val="00775860"/>
    <w:rsid w:val="00775973"/>
    <w:rsid w:val="00777FC9"/>
    <w:rsid w:val="00782031"/>
    <w:rsid w:val="0078343A"/>
    <w:rsid w:val="00783E74"/>
    <w:rsid w:val="00784C2A"/>
    <w:rsid w:val="00784E6E"/>
    <w:rsid w:val="007854DD"/>
    <w:rsid w:val="007855F5"/>
    <w:rsid w:val="007905DA"/>
    <w:rsid w:val="00792DE3"/>
    <w:rsid w:val="007937F1"/>
    <w:rsid w:val="00793EB8"/>
    <w:rsid w:val="007962AA"/>
    <w:rsid w:val="00796A27"/>
    <w:rsid w:val="007A13A0"/>
    <w:rsid w:val="007A1FA9"/>
    <w:rsid w:val="007A34AB"/>
    <w:rsid w:val="007A3612"/>
    <w:rsid w:val="007A3765"/>
    <w:rsid w:val="007A6CC0"/>
    <w:rsid w:val="007A7383"/>
    <w:rsid w:val="007B0144"/>
    <w:rsid w:val="007B0BD7"/>
    <w:rsid w:val="007B1462"/>
    <w:rsid w:val="007B15A5"/>
    <w:rsid w:val="007B16B3"/>
    <w:rsid w:val="007B4D8B"/>
    <w:rsid w:val="007B51D6"/>
    <w:rsid w:val="007B6D66"/>
    <w:rsid w:val="007B6F51"/>
    <w:rsid w:val="007C229E"/>
    <w:rsid w:val="007C25E0"/>
    <w:rsid w:val="007C4021"/>
    <w:rsid w:val="007C4590"/>
    <w:rsid w:val="007C6C19"/>
    <w:rsid w:val="007D00A3"/>
    <w:rsid w:val="007D02E8"/>
    <w:rsid w:val="007D047A"/>
    <w:rsid w:val="007D050A"/>
    <w:rsid w:val="007D1B75"/>
    <w:rsid w:val="007D1CF2"/>
    <w:rsid w:val="007D3EDC"/>
    <w:rsid w:val="007D4522"/>
    <w:rsid w:val="007D4753"/>
    <w:rsid w:val="007D5DFD"/>
    <w:rsid w:val="007D6FDA"/>
    <w:rsid w:val="007D7185"/>
    <w:rsid w:val="007E0A6A"/>
    <w:rsid w:val="007E152C"/>
    <w:rsid w:val="007E1CAF"/>
    <w:rsid w:val="007E3AB6"/>
    <w:rsid w:val="007E5B0E"/>
    <w:rsid w:val="007E728F"/>
    <w:rsid w:val="007E7866"/>
    <w:rsid w:val="007F0108"/>
    <w:rsid w:val="007F07A7"/>
    <w:rsid w:val="007F0BC6"/>
    <w:rsid w:val="007F121F"/>
    <w:rsid w:val="007F3549"/>
    <w:rsid w:val="007F3615"/>
    <w:rsid w:val="007F3EB9"/>
    <w:rsid w:val="007F4265"/>
    <w:rsid w:val="007F4439"/>
    <w:rsid w:val="007F4EFA"/>
    <w:rsid w:val="007F50A9"/>
    <w:rsid w:val="007F5AE2"/>
    <w:rsid w:val="007F5CCA"/>
    <w:rsid w:val="007F6D75"/>
    <w:rsid w:val="00800248"/>
    <w:rsid w:val="00800A9C"/>
    <w:rsid w:val="00801968"/>
    <w:rsid w:val="00802278"/>
    <w:rsid w:val="008036CA"/>
    <w:rsid w:val="008043B2"/>
    <w:rsid w:val="008057A1"/>
    <w:rsid w:val="00806BF5"/>
    <w:rsid w:val="008109E4"/>
    <w:rsid w:val="0081111F"/>
    <w:rsid w:val="00813B77"/>
    <w:rsid w:val="0081773E"/>
    <w:rsid w:val="008201E6"/>
    <w:rsid w:val="008218E6"/>
    <w:rsid w:val="00823282"/>
    <w:rsid w:val="00823819"/>
    <w:rsid w:val="00825885"/>
    <w:rsid w:val="008274F9"/>
    <w:rsid w:val="00827F62"/>
    <w:rsid w:val="00831006"/>
    <w:rsid w:val="00832D42"/>
    <w:rsid w:val="008331E0"/>
    <w:rsid w:val="00835342"/>
    <w:rsid w:val="00835466"/>
    <w:rsid w:val="0083583A"/>
    <w:rsid w:val="0083623A"/>
    <w:rsid w:val="00837D52"/>
    <w:rsid w:val="00837ED4"/>
    <w:rsid w:val="008409CD"/>
    <w:rsid w:val="00840B76"/>
    <w:rsid w:val="00842764"/>
    <w:rsid w:val="00843C6F"/>
    <w:rsid w:val="0084601E"/>
    <w:rsid w:val="00850795"/>
    <w:rsid w:val="00851569"/>
    <w:rsid w:val="00851AD3"/>
    <w:rsid w:val="00852251"/>
    <w:rsid w:val="00852412"/>
    <w:rsid w:val="00852CC3"/>
    <w:rsid w:val="008530D5"/>
    <w:rsid w:val="00853E7F"/>
    <w:rsid w:val="008540EC"/>
    <w:rsid w:val="0085526B"/>
    <w:rsid w:val="00856AC2"/>
    <w:rsid w:val="00856FE8"/>
    <w:rsid w:val="00857D0F"/>
    <w:rsid w:val="00860065"/>
    <w:rsid w:val="008603A8"/>
    <w:rsid w:val="0086040C"/>
    <w:rsid w:val="008614C4"/>
    <w:rsid w:val="00864324"/>
    <w:rsid w:val="0086476B"/>
    <w:rsid w:val="0086495A"/>
    <w:rsid w:val="008662CC"/>
    <w:rsid w:val="00867206"/>
    <w:rsid w:val="00871784"/>
    <w:rsid w:val="00872708"/>
    <w:rsid w:val="008740DE"/>
    <w:rsid w:val="0087438F"/>
    <w:rsid w:val="00874692"/>
    <w:rsid w:val="008746EA"/>
    <w:rsid w:val="00875055"/>
    <w:rsid w:val="00875ECD"/>
    <w:rsid w:val="00876A84"/>
    <w:rsid w:val="00877688"/>
    <w:rsid w:val="00880B33"/>
    <w:rsid w:val="00881804"/>
    <w:rsid w:val="008818BE"/>
    <w:rsid w:val="00881A4F"/>
    <w:rsid w:val="00881D76"/>
    <w:rsid w:val="00882424"/>
    <w:rsid w:val="0088264D"/>
    <w:rsid w:val="00883611"/>
    <w:rsid w:val="00885264"/>
    <w:rsid w:val="00885317"/>
    <w:rsid w:val="00885653"/>
    <w:rsid w:val="008858B9"/>
    <w:rsid w:val="00887395"/>
    <w:rsid w:val="00887E96"/>
    <w:rsid w:val="00890CAE"/>
    <w:rsid w:val="00891BC4"/>
    <w:rsid w:val="008926AE"/>
    <w:rsid w:val="00893E01"/>
    <w:rsid w:val="00895004"/>
    <w:rsid w:val="008950E7"/>
    <w:rsid w:val="00895B83"/>
    <w:rsid w:val="00896FB5"/>
    <w:rsid w:val="008A1BC5"/>
    <w:rsid w:val="008A2CE0"/>
    <w:rsid w:val="008A3DF8"/>
    <w:rsid w:val="008A42C1"/>
    <w:rsid w:val="008A43CC"/>
    <w:rsid w:val="008A4F76"/>
    <w:rsid w:val="008A58ED"/>
    <w:rsid w:val="008A6994"/>
    <w:rsid w:val="008B1371"/>
    <w:rsid w:val="008B4006"/>
    <w:rsid w:val="008B49E2"/>
    <w:rsid w:val="008B4AD3"/>
    <w:rsid w:val="008B4B01"/>
    <w:rsid w:val="008B5BE5"/>
    <w:rsid w:val="008B622F"/>
    <w:rsid w:val="008B6283"/>
    <w:rsid w:val="008B7893"/>
    <w:rsid w:val="008C04E3"/>
    <w:rsid w:val="008C05C8"/>
    <w:rsid w:val="008C1699"/>
    <w:rsid w:val="008C3A93"/>
    <w:rsid w:val="008C5F75"/>
    <w:rsid w:val="008C5F9B"/>
    <w:rsid w:val="008C60CC"/>
    <w:rsid w:val="008C7D0E"/>
    <w:rsid w:val="008D1707"/>
    <w:rsid w:val="008D30D4"/>
    <w:rsid w:val="008D35CE"/>
    <w:rsid w:val="008D39D7"/>
    <w:rsid w:val="008D4B15"/>
    <w:rsid w:val="008D661A"/>
    <w:rsid w:val="008D75CC"/>
    <w:rsid w:val="008D7862"/>
    <w:rsid w:val="008D7C98"/>
    <w:rsid w:val="008E1F17"/>
    <w:rsid w:val="008E2B36"/>
    <w:rsid w:val="008E38C0"/>
    <w:rsid w:val="008E3DED"/>
    <w:rsid w:val="008E443E"/>
    <w:rsid w:val="008E4B8C"/>
    <w:rsid w:val="008E595F"/>
    <w:rsid w:val="008E5FE5"/>
    <w:rsid w:val="008E60F5"/>
    <w:rsid w:val="008E664E"/>
    <w:rsid w:val="008E6F9F"/>
    <w:rsid w:val="008E72DD"/>
    <w:rsid w:val="008E7ACA"/>
    <w:rsid w:val="008E7B88"/>
    <w:rsid w:val="008E7CAC"/>
    <w:rsid w:val="008F0CBD"/>
    <w:rsid w:val="008F1B98"/>
    <w:rsid w:val="008F1EB7"/>
    <w:rsid w:val="008F2414"/>
    <w:rsid w:val="008F322F"/>
    <w:rsid w:val="008F366F"/>
    <w:rsid w:val="008F3F92"/>
    <w:rsid w:val="008F4019"/>
    <w:rsid w:val="008F4351"/>
    <w:rsid w:val="008F516A"/>
    <w:rsid w:val="008F5883"/>
    <w:rsid w:val="008F6610"/>
    <w:rsid w:val="009009F4"/>
    <w:rsid w:val="0090142F"/>
    <w:rsid w:val="00902300"/>
    <w:rsid w:val="009036E0"/>
    <w:rsid w:val="009062B4"/>
    <w:rsid w:val="00906BBE"/>
    <w:rsid w:val="00906D36"/>
    <w:rsid w:val="00907020"/>
    <w:rsid w:val="0090702C"/>
    <w:rsid w:val="00910718"/>
    <w:rsid w:val="009109B0"/>
    <w:rsid w:val="00911E9A"/>
    <w:rsid w:val="00913808"/>
    <w:rsid w:val="009141FC"/>
    <w:rsid w:val="00914E06"/>
    <w:rsid w:val="009151D1"/>
    <w:rsid w:val="009152E0"/>
    <w:rsid w:val="00917F6F"/>
    <w:rsid w:val="0092092A"/>
    <w:rsid w:val="00920EAC"/>
    <w:rsid w:val="00922074"/>
    <w:rsid w:val="00922714"/>
    <w:rsid w:val="00923B1C"/>
    <w:rsid w:val="00926E74"/>
    <w:rsid w:val="00930535"/>
    <w:rsid w:val="00930F08"/>
    <w:rsid w:val="00932271"/>
    <w:rsid w:val="00932B49"/>
    <w:rsid w:val="00932CFF"/>
    <w:rsid w:val="00932DBC"/>
    <w:rsid w:val="00933F0C"/>
    <w:rsid w:val="00934892"/>
    <w:rsid w:val="00934C12"/>
    <w:rsid w:val="00934FFB"/>
    <w:rsid w:val="00935F0E"/>
    <w:rsid w:val="0094032D"/>
    <w:rsid w:val="00940B11"/>
    <w:rsid w:val="0094124D"/>
    <w:rsid w:val="0094130F"/>
    <w:rsid w:val="009420D5"/>
    <w:rsid w:val="009428F2"/>
    <w:rsid w:val="00944C27"/>
    <w:rsid w:val="00945AA1"/>
    <w:rsid w:val="009474CB"/>
    <w:rsid w:val="00947EB4"/>
    <w:rsid w:val="00952BAC"/>
    <w:rsid w:val="009537BB"/>
    <w:rsid w:val="00954F2F"/>
    <w:rsid w:val="00955016"/>
    <w:rsid w:val="009550C8"/>
    <w:rsid w:val="0095545B"/>
    <w:rsid w:val="00955BEE"/>
    <w:rsid w:val="00955E22"/>
    <w:rsid w:val="0095640F"/>
    <w:rsid w:val="00956954"/>
    <w:rsid w:val="00957720"/>
    <w:rsid w:val="009577D4"/>
    <w:rsid w:val="009577D6"/>
    <w:rsid w:val="009608CF"/>
    <w:rsid w:val="00960A5B"/>
    <w:rsid w:val="009617AF"/>
    <w:rsid w:val="00961AA3"/>
    <w:rsid w:val="00961BF7"/>
    <w:rsid w:val="00963598"/>
    <w:rsid w:val="00966991"/>
    <w:rsid w:val="00967263"/>
    <w:rsid w:val="009677DC"/>
    <w:rsid w:val="00971C90"/>
    <w:rsid w:val="00972AC2"/>
    <w:rsid w:val="009735CF"/>
    <w:rsid w:val="009743DE"/>
    <w:rsid w:val="00974C3F"/>
    <w:rsid w:val="0097608A"/>
    <w:rsid w:val="00976F36"/>
    <w:rsid w:val="00980CE7"/>
    <w:rsid w:val="00981DE3"/>
    <w:rsid w:val="009834D9"/>
    <w:rsid w:val="0098441F"/>
    <w:rsid w:val="009850FC"/>
    <w:rsid w:val="0098549E"/>
    <w:rsid w:val="00986AFE"/>
    <w:rsid w:val="00986BCD"/>
    <w:rsid w:val="0098742B"/>
    <w:rsid w:val="0099082E"/>
    <w:rsid w:val="0099213B"/>
    <w:rsid w:val="00992DCE"/>
    <w:rsid w:val="0099313A"/>
    <w:rsid w:val="0099326D"/>
    <w:rsid w:val="0099376C"/>
    <w:rsid w:val="00993E98"/>
    <w:rsid w:val="0099408B"/>
    <w:rsid w:val="009946DA"/>
    <w:rsid w:val="00994EE7"/>
    <w:rsid w:val="00995090"/>
    <w:rsid w:val="009957A2"/>
    <w:rsid w:val="0099644A"/>
    <w:rsid w:val="00996519"/>
    <w:rsid w:val="009974B9"/>
    <w:rsid w:val="009975B9"/>
    <w:rsid w:val="00997912"/>
    <w:rsid w:val="00997918"/>
    <w:rsid w:val="009A22EF"/>
    <w:rsid w:val="009A488B"/>
    <w:rsid w:val="009A4A24"/>
    <w:rsid w:val="009A6D82"/>
    <w:rsid w:val="009B2096"/>
    <w:rsid w:val="009B3F33"/>
    <w:rsid w:val="009B4B1B"/>
    <w:rsid w:val="009B6222"/>
    <w:rsid w:val="009B66D2"/>
    <w:rsid w:val="009B6BD9"/>
    <w:rsid w:val="009B7EE4"/>
    <w:rsid w:val="009C158A"/>
    <w:rsid w:val="009C2108"/>
    <w:rsid w:val="009C21C1"/>
    <w:rsid w:val="009C23F2"/>
    <w:rsid w:val="009C2492"/>
    <w:rsid w:val="009C24CF"/>
    <w:rsid w:val="009C27C0"/>
    <w:rsid w:val="009C601C"/>
    <w:rsid w:val="009C71DD"/>
    <w:rsid w:val="009C71F0"/>
    <w:rsid w:val="009D0905"/>
    <w:rsid w:val="009D09B4"/>
    <w:rsid w:val="009D0C8B"/>
    <w:rsid w:val="009D17B8"/>
    <w:rsid w:val="009D18A4"/>
    <w:rsid w:val="009D3120"/>
    <w:rsid w:val="009D343D"/>
    <w:rsid w:val="009D35DF"/>
    <w:rsid w:val="009D3869"/>
    <w:rsid w:val="009D3EB2"/>
    <w:rsid w:val="009D5924"/>
    <w:rsid w:val="009E0D44"/>
    <w:rsid w:val="009E1AA0"/>
    <w:rsid w:val="009E34A6"/>
    <w:rsid w:val="009E410D"/>
    <w:rsid w:val="009E5CEA"/>
    <w:rsid w:val="009E6BF5"/>
    <w:rsid w:val="009E7748"/>
    <w:rsid w:val="009F09D1"/>
    <w:rsid w:val="009F10D3"/>
    <w:rsid w:val="009F2994"/>
    <w:rsid w:val="009F3832"/>
    <w:rsid w:val="009F4118"/>
    <w:rsid w:val="009F6C27"/>
    <w:rsid w:val="009F7F2F"/>
    <w:rsid w:val="00A001D5"/>
    <w:rsid w:val="00A0033C"/>
    <w:rsid w:val="00A0222A"/>
    <w:rsid w:val="00A024D7"/>
    <w:rsid w:val="00A03191"/>
    <w:rsid w:val="00A0652E"/>
    <w:rsid w:val="00A10FF5"/>
    <w:rsid w:val="00A11CAE"/>
    <w:rsid w:val="00A13191"/>
    <w:rsid w:val="00A13355"/>
    <w:rsid w:val="00A13616"/>
    <w:rsid w:val="00A15164"/>
    <w:rsid w:val="00A15AAA"/>
    <w:rsid w:val="00A17208"/>
    <w:rsid w:val="00A17C8B"/>
    <w:rsid w:val="00A206A7"/>
    <w:rsid w:val="00A21030"/>
    <w:rsid w:val="00A2136F"/>
    <w:rsid w:val="00A22C88"/>
    <w:rsid w:val="00A253D2"/>
    <w:rsid w:val="00A255D3"/>
    <w:rsid w:val="00A26360"/>
    <w:rsid w:val="00A26945"/>
    <w:rsid w:val="00A316FF"/>
    <w:rsid w:val="00A323BA"/>
    <w:rsid w:val="00A33476"/>
    <w:rsid w:val="00A338AB"/>
    <w:rsid w:val="00A376D5"/>
    <w:rsid w:val="00A37FDA"/>
    <w:rsid w:val="00A41087"/>
    <w:rsid w:val="00A41D1F"/>
    <w:rsid w:val="00A420AD"/>
    <w:rsid w:val="00A424F6"/>
    <w:rsid w:val="00A427D7"/>
    <w:rsid w:val="00A42B1A"/>
    <w:rsid w:val="00A42C62"/>
    <w:rsid w:val="00A43A91"/>
    <w:rsid w:val="00A440EA"/>
    <w:rsid w:val="00A4511F"/>
    <w:rsid w:val="00A50765"/>
    <w:rsid w:val="00A51352"/>
    <w:rsid w:val="00A518E1"/>
    <w:rsid w:val="00A52AD7"/>
    <w:rsid w:val="00A53285"/>
    <w:rsid w:val="00A541DC"/>
    <w:rsid w:val="00A543D6"/>
    <w:rsid w:val="00A54F80"/>
    <w:rsid w:val="00A5584F"/>
    <w:rsid w:val="00A5705A"/>
    <w:rsid w:val="00A575E6"/>
    <w:rsid w:val="00A57FFA"/>
    <w:rsid w:val="00A6000D"/>
    <w:rsid w:val="00A61044"/>
    <w:rsid w:val="00A621DF"/>
    <w:rsid w:val="00A636EE"/>
    <w:rsid w:val="00A65079"/>
    <w:rsid w:val="00A650FA"/>
    <w:rsid w:val="00A65AC1"/>
    <w:rsid w:val="00A6675F"/>
    <w:rsid w:val="00A721DA"/>
    <w:rsid w:val="00A7235B"/>
    <w:rsid w:val="00A73A3C"/>
    <w:rsid w:val="00A73F78"/>
    <w:rsid w:val="00A7462E"/>
    <w:rsid w:val="00A747D2"/>
    <w:rsid w:val="00A75173"/>
    <w:rsid w:val="00A75BE3"/>
    <w:rsid w:val="00A766ED"/>
    <w:rsid w:val="00A77A12"/>
    <w:rsid w:val="00A800B1"/>
    <w:rsid w:val="00A811A1"/>
    <w:rsid w:val="00A8146E"/>
    <w:rsid w:val="00A81A5E"/>
    <w:rsid w:val="00A81CBE"/>
    <w:rsid w:val="00A8356D"/>
    <w:rsid w:val="00A83A9D"/>
    <w:rsid w:val="00A83D07"/>
    <w:rsid w:val="00A84A14"/>
    <w:rsid w:val="00A84A83"/>
    <w:rsid w:val="00A8507B"/>
    <w:rsid w:val="00A87C23"/>
    <w:rsid w:val="00A902F3"/>
    <w:rsid w:val="00A91354"/>
    <w:rsid w:val="00A91FCE"/>
    <w:rsid w:val="00A92126"/>
    <w:rsid w:val="00A949E9"/>
    <w:rsid w:val="00A9594C"/>
    <w:rsid w:val="00A95ACB"/>
    <w:rsid w:val="00A96E24"/>
    <w:rsid w:val="00A97B3A"/>
    <w:rsid w:val="00AA0A44"/>
    <w:rsid w:val="00AA2206"/>
    <w:rsid w:val="00AA228E"/>
    <w:rsid w:val="00AA419A"/>
    <w:rsid w:val="00AA5D7A"/>
    <w:rsid w:val="00AA7EA8"/>
    <w:rsid w:val="00AB0A81"/>
    <w:rsid w:val="00AB1002"/>
    <w:rsid w:val="00AB16C3"/>
    <w:rsid w:val="00AB2E2A"/>
    <w:rsid w:val="00AB33EE"/>
    <w:rsid w:val="00AB503D"/>
    <w:rsid w:val="00AB5D73"/>
    <w:rsid w:val="00AB5E17"/>
    <w:rsid w:val="00AB737E"/>
    <w:rsid w:val="00AC02BC"/>
    <w:rsid w:val="00AC28AD"/>
    <w:rsid w:val="00AC31E6"/>
    <w:rsid w:val="00AC38C0"/>
    <w:rsid w:val="00AC3F01"/>
    <w:rsid w:val="00AC3F23"/>
    <w:rsid w:val="00AC4B55"/>
    <w:rsid w:val="00AC641E"/>
    <w:rsid w:val="00AC6DB3"/>
    <w:rsid w:val="00AC796A"/>
    <w:rsid w:val="00AC7AC1"/>
    <w:rsid w:val="00AC7BB1"/>
    <w:rsid w:val="00AD0D24"/>
    <w:rsid w:val="00AD0F1A"/>
    <w:rsid w:val="00AD1BFC"/>
    <w:rsid w:val="00AD4219"/>
    <w:rsid w:val="00AD44CC"/>
    <w:rsid w:val="00AD612A"/>
    <w:rsid w:val="00AD724C"/>
    <w:rsid w:val="00AE0708"/>
    <w:rsid w:val="00AE0AF4"/>
    <w:rsid w:val="00AE1396"/>
    <w:rsid w:val="00AE3C39"/>
    <w:rsid w:val="00AE3F49"/>
    <w:rsid w:val="00AE45B4"/>
    <w:rsid w:val="00AE4FBA"/>
    <w:rsid w:val="00AE5ED9"/>
    <w:rsid w:val="00AE69BF"/>
    <w:rsid w:val="00AE725E"/>
    <w:rsid w:val="00AE7749"/>
    <w:rsid w:val="00AF06F5"/>
    <w:rsid w:val="00AF286D"/>
    <w:rsid w:val="00AF3416"/>
    <w:rsid w:val="00AF3A00"/>
    <w:rsid w:val="00AF454D"/>
    <w:rsid w:val="00AF5C66"/>
    <w:rsid w:val="00AF5E19"/>
    <w:rsid w:val="00AF7DC0"/>
    <w:rsid w:val="00B008C6"/>
    <w:rsid w:val="00B07E92"/>
    <w:rsid w:val="00B123F9"/>
    <w:rsid w:val="00B14CAE"/>
    <w:rsid w:val="00B16EB2"/>
    <w:rsid w:val="00B17BD7"/>
    <w:rsid w:val="00B2093A"/>
    <w:rsid w:val="00B214A2"/>
    <w:rsid w:val="00B21662"/>
    <w:rsid w:val="00B21BE8"/>
    <w:rsid w:val="00B22666"/>
    <w:rsid w:val="00B22C26"/>
    <w:rsid w:val="00B23D54"/>
    <w:rsid w:val="00B2432F"/>
    <w:rsid w:val="00B244E5"/>
    <w:rsid w:val="00B259C9"/>
    <w:rsid w:val="00B26130"/>
    <w:rsid w:val="00B266A7"/>
    <w:rsid w:val="00B27115"/>
    <w:rsid w:val="00B27284"/>
    <w:rsid w:val="00B27469"/>
    <w:rsid w:val="00B2791E"/>
    <w:rsid w:val="00B30A13"/>
    <w:rsid w:val="00B31AB8"/>
    <w:rsid w:val="00B320B1"/>
    <w:rsid w:val="00B330D1"/>
    <w:rsid w:val="00B33DEF"/>
    <w:rsid w:val="00B34DFD"/>
    <w:rsid w:val="00B3501F"/>
    <w:rsid w:val="00B353E6"/>
    <w:rsid w:val="00B36076"/>
    <w:rsid w:val="00B37550"/>
    <w:rsid w:val="00B37641"/>
    <w:rsid w:val="00B41012"/>
    <w:rsid w:val="00B4149A"/>
    <w:rsid w:val="00B42053"/>
    <w:rsid w:val="00B42464"/>
    <w:rsid w:val="00B42760"/>
    <w:rsid w:val="00B42AFB"/>
    <w:rsid w:val="00B42C14"/>
    <w:rsid w:val="00B433CA"/>
    <w:rsid w:val="00B43DF1"/>
    <w:rsid w:val="00B445C4"/>
    <w:rsid w:val="00B447D1"/>
    <w:rsid w:val="00B45312"/>
    <w:rsid w:val="00B46886"/>
    <w:rsid w:val="00B472EF"/>
    <w:rsid w:val="00B478D0"/>
    <w:rsid w:val="00B47E6B"/>
    <w:rsid w:val="00B53734"/>
    <w:rsid w:val="00B55913"/>
    <w:rsid w:val="00B619D4"/>
    <w:rsid w:val="00B66E7D"/>
    <w:rsid w:val="00B7020D"/>
    <w:rsid w:val="00B7206E"/>
    <w:rsid w:val="00B75025"/>
    <w:rsid w:val="00B75E00"/>
    <w:rsid w:val="00B769D3"/>
    <w:rsid w:val="00B76BF6"/>
    <w:rsid w:val="00B77035"/>
    <w:rsid w:val="00B77B3E"/>
    <w:rsid w:val="00B80546"/>
    <w:rsid w:val="00B80D17"/>
    <w:rsid w:val="00B81788"/>
    <w:rsid w:val="00B828D8"/>
    <w:rsid w:val="00B85175"/>
    <w:rsid w:val="00B85361"/>
    <w:rsid w:val="00B858C5"/>
    <w:rsid w:val="00B872F3"/>
    <w:rsid w:val="00B877D9"/>
    <w:rsid w:val="00B90481"/>
    <w:rsid w:val="00B9094E"/>
    <w:rsid w:val="00B90FD7"/>
    <w:rsid w:val="00B912A5"/>
    <w:rsid w:val="00B928B5"/>
    <w:rsid w:val="00B96ED0"/>
    <w:rsid w:val="00BA0EAD"/>
    <w:rsid w:val="00BA111A"/>
    <w:rsid w:val="00BA17FE"/>
    <w:rsid w:val="00BA2926"/>
    <w:rsid w:val="00BA3D9E"/>
    <w:rsid w:val="00BA3DEF"/>
    <w:rsid w:val="00BA3FF9"/>
    <w:rsid w:val="00BA466A"/>
    <w:rsid w:val="00BA6036"/>
    <w:rsid w:val="00BA67C5"/>
    <w:rsid w:val="00BA6FA6"/>
    <w:rsid w:val="00BA6FED"/>
    <w:rsid w:val="00BB006E"/>
    <w:rsid w:val="00BB081F"/>
    <w:rsid w:val="00BB152E"/>
    <w:rsid w:val="00BB25D5"/>
    <w:rsid w:val="00BB2A2B"/>
    <w:rsid w:val="00BB2E0A"/>
    <w:rsid w:val="00BB39F1"/>
    <w:rsid w:val="00BB3FD7"/>
    <w:rsid w:val="00BB4968"/>
    <w:rsid w:val="00BB597D"/>
    <w:rsid w:val="00BB6469"/>
    <w:rsid w:val="00BB6DD7"/>
    <w:rsid w:val="00BC0492"/>
    <w:rsid w:val="00BC2335"/>
    <w:rsid w:val="00BC309C"/>
    <w:rsid w:val="00BC73BB"/>
    <w:rsid w:val="00BD145A"/>
    <w:rsid w:val="00BD1A14"/>
    <w:rsid w:val="00BD1B4A"/>
    <w:rsid w:val="00BD1BAA"/>
    <w:rsid w:val="00BD2642"/>
    <w:rsid w:val="00BD3BCE"/>
    <w:rsid w:val="00BD3F52"/>
    <w:rsid w:val="00BD4E80"/>
    <w:rsid w:val="00BD5F90"/>
    <w:rsid w:val="00BD62A9"/>
    <w:rsid w:val="00BD7944"/>
    <w:rsid w:val="00BD7E2F"/>
    <w:rsid w:val="00BD7E6B"/>
    <w:rsid w:val="00BE2260"/>
    <w:rsid w:val="00BE3A16"/>
    <w:rsid w:val="00BE467D"/>
    <w:rsid w:val="00BE5D41"/>
    <w:rsid w:val="00BF07A1"/>
    <w:rsid w:val="00BF14A9"/>
    <w:rsid w:val="00BF14EA"/>
    <w:rsid w:val="00BF1818"/>
    <w:rsid w:val="00BF2825"/>
    <w:rsid w:val="00BF4CF6"/>
    <w:rsid w:val="00BF5ADF"/>
    <w:rsid w:val="00BF6022"/>
    <w:rsid w:val="00BF7FF4"/>
    <w:rsid w:val="00C028FD"/>
    <w:rsid w:val="00C039C0"/>
    <w:rsid w:val="00C03D8A"/>
    <w:rsid w:val="00C04C1D"/>
    <w:rsid w:val="00C065F9"/>
    <w:rsid w:val="00C11AA9"/>
    <w:rsid w:val="00C11E17"/>
    <w:rsid w:val="00C127C3"/>
    <w:rsid w:val="00C151D7"/>
    <w:rsid w:val="00C157F0"/>
    <w:rsid w:val="00C1703C"/>
    <w:rsid w:val="00C173DA"/>
    <w:rsid w:val="00C17B5C"/>
    <w:rsid w:val="00C17F76"/>
    <w:rsid w:val="00C2238C"/>
    <w:rsid w:val="00C22EC2"/>
    <w:rsid w:val="00C23784"/>
    <w:rsid w:val="00C24307"/>
    <w:rsid w:val="00C25AF1"/>
    <w:rsid w:val="00C26D89"/>
    <w:rsid w:val="00C3026F"/>
    <w:rsid w:val="00C31520"/>
    <w:rsid w:val="00C32E23"/>
    <w:rsid w:val="00C34162"/>
    <w:rsid w:val="00C350C2"/>
    <w:rsid w:val="00C3749F"/>
    <w:rsid w:val="00C3765E"/>
    <w:rsid w:val="00C41A0D"/>
    <w:rsid w:val="00C4216A"/>
    <w:rsid w:val="00C445C5"/>
    <w:rsid w:val="00C45E73"/>
    <w:rsid w:val="00C47860"/>
    <w:rsid w:val="00C50300"/>
    <w:rsid w:val="00C510D0"/>
    <w:rsid w:val="00C51B44"/>
    <w:rsid w:val="00C51C11"/>
    <w:rsid w:val="00C55A2A"/>
    <w:rsid w:val="00C5734D"/>
    <w:rsid w:val="00C5787C"/>
    <w:rsid w:val="00C60EB2"/>
    <w:rsid w:val="00C61A43"/>
    <w:rsid w:val="00C62EF8"/>
    <w:rsid w:val="00C65257"/>
    <w:rsid w:val="00C70532"/>
    <w:rsid w:val="00C70548"/>
    <w:rsid w:val="00C719DB"/>
    <w:rsid w:val="00C71B55"/>
    <w:rsid w:val="00C743C7"/>
    <w:rsid w:val="00C744B9"/>
    <w:rsid w:val="00C74B5D"/>
    <w:rsid w:val="00C75AA4"/>
    <w:rsid w:val="00C777A5"/>
    <w:rsid w:val="00C77BA6"/>
    <w:rsid w:val="00C80067"/>
    <w:rsid w:val="00C8021C"/>
    <w:rsid w:val="00C82273"/>
    <w:rsid w:val="00C83348"/>
    <w:rsid w:val="00C8358D"/>
    <w:rsid w:val="00C8417E"/>
    <w:rsid w:val="00C8530E"/>
    <w:rsid w:val="00C85785"/>
    <w:rsid w:val="00C85E24"/>
    <w:rsid w:val="00C871EB"/>
    <w:rsid w:val="00C9138E"/>
    <w:rsid w:val="00C92436"/>
    <w:rsid w:val="00C93DED"/>
    <w:rsid w:val="00C940EC"/>
    <w:rsid w:val="00C94F73"/>
    <w:rsid w:val="00C96558"/>
    <w:rsid w:val="00CA0DA7"/>
    <w:rsid w:val="00CA136B"/>
    <w:rsid w:val="00CA2AA8"/>
    <w:rsid w:val="00CA429B"/>
    <w:rsid w:val="00CA6F97"/>
    <w:rsid w:val="00CB00FC"/>
    <w:rsid w:val="00CB1DE3"/>
    <w:rsid w:val="00CB4C3A"/>
    <w:rsid w:val="00CB5346"/>
    <w:rsid w:val="00CB5719"/>
    <w:rsid w:val="00CB5F09"/>
    <w:rsid w:val="00CB77F5"/>
    <w:rsid w:val="00CC05C2"/>
    <w:rsid w:val="00CC063B"/>
    <w:rsid w:val="00CC117F"/>
    <w:rsid w:val="00CC15C5"/>
    <w:rsid w:val="00CC2D4C"/>
    <w:rsid w:val="00CC507F"/>
    <w:rsid w:val="00CC5786"/>
    <w:rsid w:val="00CC6B4A"/>
    <w:rsid w:val="00CC7445"/>
    <w:rsid w:val="00CC76B9"/>
    <w:rsid w:val="00CD0662"/>
    <w:rsid w:val="00CD0907"/>
    <w:rsid w:val="00CD166B"/>
    <w:rsid w:val="00CD21D0"/>
    <w:rsid w:val="00CD2211"/>
    <w:rsid w:val="00CD29D5"/>
    <w:rsid w:val="00CD2B17"/>
    <w:rsid w:val="00CD2BD9"/>
    <w:rsid w:val="00CD3A6C"/>
    <w:rsid w:val="00CD4A8F"/>
    <w:rsid w:val="00CD669D"/>
    <w:rsid w:val="00CD67F2"/>
    <w:rsid w:val="00CD73EE"/>
    <w:rsid w:val="00CD7563"/>
    <w:rsid w:val="00CE18C2"/>
    <w:rsid w:val="00CE2185"/>
    <w:rsid w:val="00CE2C0E"/>
    <w:rsid w:val="00CE2F89"/>
    <w:rsid w:val="00CE3275"/>
    <w:rsid w:val="00CE5CBE"/>
    <w:rsid w:val="00CE65F7"/>
    <w:rsid w:val="00CE73E7"/>
    <w:rsid w:val="00CE7957"/>
    <w:rsid w:val="00CF052B"/>
    <w:rsid w:val="00CF090C"/>
    <w:rsid w:val="00CF0FF2"/>
    <w:rsid w:val="00CF1E85"/>
    <w:rsid w:val="00CF28DC"/>
    <w:rsid w:val="00CF3CEB"/>
    <w:rsid w:val="00CF3DD9"/>
    <w:rsid w:val="00CF46F6"/>
    <w:rsid w:val="00CF5D67"/>
    <w:rsid w:val="00CF63A0"/>
    <w:rsid w:val="00CF7A3B"/>
    <w:rsid w:val="00CF7E21"/>
    <w:rsid w:val="00D00088"/>
    <w:rsid w:val="00D00563"/>
    <w:rsid w:val="00D01B17"/>
    <w:rsid w:val="00D0211D"/>
    <w:rsid w:val="00D025F9"/>
    <w:rsid w:val="00D02F20"/>
    <w:rsid w:val="00D03ECC"/>
    <w:rsid w:val="00D04C19"/>
    <w:rsid w:val="00D0648D"/>
    <w:rsid w:val="00D12DF9"/>
    <w:rsid w:val="00D14462"/>
    <w:rsid w:val="00D1481B"/>
    <w:rsid w:val="00D14D13"/>
    <w:rsid w:val="00D16D66"/>
    <w:rsid w:val="00D17B50"/>
    <w:rsid w:val="00D202F1"/>
    <w:rsid w:val="00D20890"/>
    <w:rsid w:val="00D2391C"/>
    <w:rsid w:val="00D23ACC"/>
    <w:rsid w:val="00D245FA"/>
    <w:rsid w:val="00D24847"/>
    <w:rsid w:val="00D252DF"/>
    <w:rsid w:val="00D26C56"/>
    <w:rsid w:val="00D27517"/>
    <w:rsid w:val="00D27E29"/>
    <w:rsid w:val="00D31F80"/>
    <w:rsid w:val="00D3354C"/>
    <w:rsid w:val="00D3467A"/>
    <w:rsid w:val="00D34F5A"/>
    <w:rsid w:val="00D36D90"/>
    <w:rsid w:val="00D36F1F"/>
    <w:rsid w:val="00D37DA4"/>
    <w:rsid w:val="00D4070C"/>
    <w:rsid w:val="00D40796"/>
    <w:rsid w:val="00D449D2"/>
    <w:rsid w:val="00D466F4"/>
    <w:rsid w:val="00D4693D"/>
    <w:rsid w:val="00D50D79"/>
    <w:rsid w:val="00D50EF1"/>
    <w:rsid w:val="00D521F1"/>
    <w:rsid w:val="00D52599"/>
    <w:rsid w:val="00D53AF3"/>
    <w:rsid w:val="00D53F26"/>
    <w:rsid w:val="00D5495E"/>
    <w:rsid w:val="00D552FE"/>
    <w:rsid w:val="00D57BB2"/>
    <w:rsid w:val="00D6305F"/>
    <w:rsid w:val="00D6313A"/>
    <w:rsid w:val="00D63E60"/>
    <w:rsid w:val="00D63FFF"/>
    <w:rsid w:val="00D64458"/>
    <w:rsid w:val="00D645EA"/>
    <w:rsid w:val="00D66380"/>
    <w:rsid w:val="00D72CBB"/>
    <w:rsid w:val="00D74278"/>
    <w:rsid w:val="00D74C00"/>
    <w:rsid w:val="00D74DD5"/>
    <w:rsid w:val="00D75AF6"/>
    <w:rsid w:val="00D763CD"/>
    <w:rsid w:val="00D80014"/>
    <w:rsid w:val="00D80784"/>
    <w:rsid w:val="00D80C92"/>
    <w:rsid w:val="00D81E90"/>
    <w:rsid w:val="00D8264F"/>
    <w:rsid w:val="00D837A9"/>
    <w:rsid w:val="00D83F18"/>
    <w:rsid w:val="00D85A24"/>
    <w:rsid w:val="00D900A5"/>
    <w:rsid w:val="00D90941"/>
    <w:rsid w:val="00D90951"/>
    <w:rsid w:val="00D915B9"/>
    <w:rsid w:val="00D91895"/>
    <w:rsid w:val="00D91B26"/>
    <w:rsid w:val="00D91E6E"/>
    <w:rsid w:val="00D93C15"/>
    <w:rsid w:val="00D93CD9"/>
    <w:rsid w:val="00D93FF1"/>
    <w:rsid w:val="00D952D3"/>
    <w:rsid w:val="00D95827"/>
    <w:rsid w:val="00D95A43"/>
    <w:rsid w:val="00D967FC"/>
    <w:rsid w:val="00D977F5"/>
    <w:rsid w:val="00D97F85"/>
    <w:rsid w:val="00DA038A"/>
    <w:rsid w:val="00DA1E9D"/>
    <w:rsid w:val="00DA348F"/>
    <w:rsid w:val="00DA59AD"/>
    <w:rsid w:val="00DA701D"/>
    <w:rsid w:val="00DA71A7"/>
    <w:rsid w:val="00DA77DD"/>
    <w:rsid w:val="00DA7D16"/>
    <w:rsid w:val="00DB023F"/>
    <w:rsid w:val="00DB11EA"/>
    <w:rsid w:val="00DB320D"/>
    <w:rsid w:val="00DB49C3"/>
    <w:rsid w:val="00DB4EF5"/>
    <w:rsid w:val="00DB5381"/>
    <w:rsid w:val="00DB7964"/>
    <w:rsid w:val="00DC0BBC"/>
    <w:rsid w:val="00DC0C3F"/>
    <w:rsid w:val="00DC13BB"/>
    <w:rsid w:val="00DC248A"/>
    <w:rsid w:val="00DC3CFF"/>
    <w:rsid w:val="00DC6306"/>
    <w:rsid w:val="00DC7CA2"/>
    <w:rsid w:val="00DD04E5"/>
    <w:rsid w:val="00DD0EF5"/>
    <w:rsid w:val="00DD1206"/>
    <w:rsid w:val="00DD1D96"/>
    <w:rsid w:val="00DD212A"/>
    <w:rsid w:val="00DD32D4"/>
    <w:rsid w:val="00DD392A"/>
    <w:rsid w:val="00DD5023"/>
    <w:rsid w:val="00DD5422"/>
    <w:rsid w:val="00DD5599"/>
    <w:rsid w:val="00DD5CA1"/>
    <w:rsid w:val="00DD6A04"/>
    <w:rsid w:val="00DE089F"/>
    <w:rsid w:val="00DE162E"/>
    <w:rsid w:val="00DE276D"/>
    <w:rsid w:val="00DE27E4"/>
    <w:rsid w:val="00DE2EAF"/>
    <w:rsid w:val="00DE403F"/>
    <w:rsid w:val="00DE5DE4"/>
    <w:rsid w:val="00DE5E64"/>
    <w:rsid w:val="00DE6EC2"/>
    <w:rsid w:val="00DE7091"/>
    <w:rsid w:val="00DF0776"/>
    <w:rsid w:val="00DF23A3"/>
    <w:rsid w:val="00DF2810"/>
    <w:rsid w:val="00DF38CD"/>
    <w:rsid w:val="00DF491A"/>
    <w:rsid w:val="00DF496E"/>
    <w:rsid w:val="00DF5306"/>
    <w:rsid w:val="00DF5C6C"/>
    <w:rsid w:val="00DF5CCC"/>
    <w:rsid w:val="00DF787C"/>
    <w:rsid w:val="00DF79FF"/>
    <w:rsid w:val="00DF7FF3"/>
    <w:rsid w:val="00E024D3"/>
    <w:rsid w:val="00E043FE"/>
    <w:rsid w:val="00E04400"/>
    <w:rsid w:val="00E0451E"/>
    <w:rsid w:val="00E04A84"/>
    <w:rsid w:val="00E05735"/>
    <w:rsid w:val="00E0698F"/>
    <w:rsid w:val="00E06E79"/>
    <w:rsid w:val="00E1037D"/>
    <w:rsid w:val="00E126F5"/>
    <w:rsid w:val="00E13B68"/>
    <w:rsid w:val="00E1594C"/>
    <w:rsid w:val="00E17A36"/>
    <w:rsid w:val="00E20131"/>
    <w:rsid w:val="00E206D6"/>
    <w:rsid w:val="00E21119"/>
    <w:rsid w:val="00E21B2E"/>
    <w:rsid w:val="00E22A5E"/>
    <w:rsid w:val="00E22FE3"/>
    <w:rsid w:val="00E23F82"/>
    <w:rsid w:val="00E24B40"/>
    <w:rsid w:val="00E269DC"/>
    <w:rsid w:val="00E30105"/>
    <w:rsid w:val="00E31F50"/>
    <w:rsid w:val="00E34BEE"/>
    <w:rsid w:val="00E34DAD"/>
    <w:rsid w:val="00E35C53"/>
    <w:rsid w:val="00E374DB"/>
    <w:rsid w:val="00E40C0F"/>
    <w:rsid w:val="00E41189"/>
    <w:rsid w:val="00E417A5"/>
    <w:rsid w:val="00E4182F"/>
    <w:rsid w:val="00E41D91"/>
    <w:rsid w:val="00E42CAD"/>
    <w:rsid w:val="00E43D0B"/>
    <w:rsid w:val="00E4605B"/>
    <w:rsid w:val="00E46179"/>
    <w:rsid w:val="00E50AE6"/>
    <w:rsid w:val="00E52147"/>
    <w:rsid w:val="00E52F14"/>
    <w:rsid w:val="00E53AD8"/>
    <w:rsid w:val="00E53CFB"/>
    <w:rsid w:val="00E53EFB"/>
    <w:rsid w:val="00E5764D"/>
    <w:rsid w:val="00E5765F"/>
    <w:rsid w:val="00E62828"/>
    <w:rsid w:val="00E62DD4"/>
    <w:rsid w:val="00E631BA"/>
    <w:rsid w:val="00E65899"/>
    <w:rsid w:val="00E67693"/>
    <w:rsid w:val="00E676A3"/>
    <w:rsid w:val="00E705EE"/>
    <w:rsid w:val="00E727E5"/>
    <w:rsid w:val="00E7288E"/>
    <w:rsid w:val="00E73CFA"/>
    <w:rsid w:val="00E74746"/>
    <w:rsid w:val="00E7477A"/>
    <w:rsid w:val="00E74B4E"/>
    <w:rsid w:val="00E752A2"/>
    <w:rsid w:val="00E75698"/>
    <w:rsid w:val="00E7716A"/>
    <w:rsid w:val="00E77A3E"/>
    <w:rsid w:val="00E80668"/>
    <w:rsid w:val="00E8086A"/>
    <w:rsid w:val="00E81EED"/>
    <w:rsid w:val="00E82819"/>
    <w:rsid w:val="00E82BA0"/>
    <w:rsid w:val="00E8380A"/>
    <w:rsid w:val="00E84B72"/>
    <w:rsid w:val="00E85D8B"/>
    <w:rsid w:val="00E865AF"/>
    <w:rsid w:val="00E920CD"/>
    <w:rsid w:val="00E92B60"/>
    <w:rsid w:val="00E9777C"/>
    <w:rsid w:val="00E977EC"/>
    <w:rsid w:val="00EA2691"/>
    <w:rsid w:val="00EA3C83"/>
    <w:rsid w:val="00EA3EEF"/>
    <w:rsid w:val="00EA4631"/>
    <w:rsid w:val="00EA4DFF"/>
    <w:rsid w:val="00EA4E66"/>
    <w:rsid w:val="00EA5C0C"/>
    <w:rsid w:val="00EA605E"/>
    <w:rsid w:val="00EA6F7E"/>
    <w:rsid w:val="00EB0DD1"/>
    <w:rsid w:val="00EB0E70"/>
    <w:rsid w:val="00EB1BFC"/>
    <w:rsid w:val="00EB2554"/>
    <w:rsid w:val="00EB44B0"/>
    <w:rsid w:val="00EB4B85"/>
    <w:rsid w:val="00EB617C"/>
    <w:rsid w:val="00EB6314"/>
    <w:rsid w:val="00EB74A9"/>
    <w:rsid w:val="00EB7D2F"/>
    <w:rsid w:val="00EC196D"/>
    <w:rsid w:val="00EC2152"/>
    <w:rsid w:val="00EC3C87"/>
    <w:rsid w:val="00EC574C"/>
    <w:rsid w:val="00EC6467"/>
    <w:rsid w:val="00EC76FE"/>
    <w:rsid w:val="00EC7B18"/>
    <w:rsid w:val="00ED12E1"/>
    <w:rsid w:val="00ED28F9"/>
    <w:rsid w:val="00ED2A58"/>
    <w:rsid w:val="00ED2EA2"/>
    <w:rsid w:val="00ED44E3"/>
    <w:rsid w:val="00ED4E01"/>
    <w:rsid w:val="00ED4F55"/>
    <w:rsid w:val="00ED654C"/>
    <w:rsid w:val="00ED68B0"/>
    <w:rsid w:val="00ED69CA"/>
    <w:rsid w:val="00EE1331"/>
    <w:rsid w:val="00EE2156"/>
    <w:rsid w:val="00EE3662"/>
    <w:rsid w:val="00EE4877"/>
    <w:rsid w:val="00EE5368"/>
    <w:rsid w:val="00EF160F"/>
    <w:rsid w:val="00EF32CB"/>
    <w:rsid w:val="00EF3B11"/>
    <w:rsid w:val="00EF4EFB"/>
    <w:rsid w:val="00EF6245"/>
    <w:rsid w:val="00EF7FEF"/>
    <w:rsid w:val="00F00EFD"/>
    <w:rsid w:val="00F01C47"/>
    <w:rsid w:val="00F02876"/>
    <w:rsid w:val="00F037F6"/>
    <w:rsid w:val="00F060F2"/>
    <w:rsid w:val="00F10ED1"/>
    <w:rsid w:val="00F11105"/>
    <w:rsid w:val="00F11F56"/>
    <w:rsid w:val="00F125C5"/>
    <w:rsid w:val="00F13E05"/>
    <w:rsid w:val="00F1422B"/>
    <w:rsid w:val="00F15027"/>
    <w:rsid w:val="00F154FF"/>
    <w:rsid w:val="00F20808"/>
    <w:rsid w:val="00F21DAB"/>
    <w:rsid w:val="00F21F84"/>
    <w:rsid w:val="00F22FE8"/>
    <w:rsid w:val="00F233A6"/>
    <w:rsid w:val="00F23AE3"/>
    <w:rsid w:val="00F23E7D"/>
    <w:rsid w:val="00F24A96"/>
    <w:rsid w:val="00F270D8"/>
    <w:rsid w:val="00F3106A"/>
    <w:rsid w:val="00F310BB"/>
    <w:rsid w:val="00F32401"/>
    <w:rsid w:val="00F3251F"/>
    <w:rsid w:val="00F33DE6"/>
    <w:rsid w:val="00F343D4"/>
    <w:rsid w:val="00F34932"/>
    <w:rsid w:val="00F35BF8"/>
    <w:rsid w:val="00F373D1"/>
    <w:rsid w:val="00F37632"/>
    <w:rsid w:val="00F378EB"/>
    <w:rsid w:val="00F37CDE"/>
    <w:rsid w:val="00F4045B"/>
    <w:rsid w:val="00F40818"/>
    <w:rsid w:val="00F42890"/>
    <w:rsid w:val="00F42B14"/>
    <w:rsid w:val="00F4310A"/>
    <w:rsid w:val="00F4355B"/>
    <w:rsid w:val="00F441B9"/>
    <w:rsid w:val="00F45B0A"/>
    <w:rsid w:val="00F466F4"/>
    <w:rsid w:val="00F4716F"/>
    <w:rsid w:val="00F5159C"/>
    <w:rsid w:val="00F5214E"/>
    <w:rsid w:val="00F524A0"/>
    <w:rsid w:val="00F534CE"/>
    <w:rsid w:val="00F54397"/>
    <w:rsid w:val="00F546BA"/>
    <w:rsid w:val="00F54C01"/>
    <w:rsid w:val="00F57885"/>
    <w:rsid w:val="00F6084C"/>
    <w:rsid w:val="00F62AA1"/>
    <w:rsid w:val="00F63F03"/>
    <w:rsid w:val="00F659B8"/>
    <w:rsid w:val="00F65C01"/>
    <w:rsid w:val="00F66EA6"/>
    <w:rsid w:val="00F675E3"/>
    <w:rsid w:val="00F70B86"/>
    <w:rsid w:val="00F71C27"/>
    <w:rsid w:val="00F73C2A"/>
    <w:rsid w:val="00F73ECA"/>
    <w:rsid w:val="00F74485"/>
    <w:rsid w:val="00F74560"/>
    <w:rsid w:val="00F75236"/>
    <w:rsid w:val="00F75E27"/>
    <w:rsid w:val="00F76543"/>
    <w:rsid w:val="00F77E9A"/>
    <w:rsid w:val="00F80944"/>
    <w:rsid w:val="00F817B1"/>
    <w:rsid w:val="00F82981"/>
    <w:rsid w:val="00F841B7"/>
    <w:rsid w:val="00F8435F"/>
    <w:rsid w:val="00F84439"/>
    <w:rsid w:val="00F8511C"/>
    <w:rsid w:val="00F85384"/>
    <w:rsid w:val="00F855AB"/>
    <w:rsid w:val="00F855D4"/>
    <w:rsid w:val="00F857FC"/>
    <w:rsid w:val="00F85F9A"/>
    <w:rsid w:val="00F873DA"/>
    <w:rsid w:val="00F87599"/>
    <w:rsid w:val="00F877A7"/>
    <w:rsid w:val="00F908AB"/>
    <w:rsid w:val="00F937CD"/>
    <w:rsid w:val="00F95159"/>
    <w:rsid w:val="00F956C7"/>
    <w:rsid w:val="00F9573E"/>
    <w:rsid w:val="00F95D47"/>
    <w:rsid w:val="00F961A8"/>
    <w:rsid w:val="00F976B8"/>
    <w:rsid w:val="00F97A16"/>
    <w:rsid w:val="00FA06DE"/>
    <w:rsid w:val="00FA13BA"/>
    <w:rsid w:val="00FA19BF"/>
    <w:rsid w:val="00FA1DE5"/>
    <w:rsid w:val="00FA21E5"/>
    <w:rsid w:val="00FA292E"/>
    <w:rsid w:val="00FA4647"/>
    <w:rsid w:val="00FA47F7"/>
    <w:rsid w:val="00FA48E2"/>
    <w:rsid w:val="00FB109A"/>
    <w:rsid w:val="00FB24FC"/>
    <w:rsid w:val="00FB2768"/>
    <w:rsid w:val="00FB347E"/>
    <w:rsid w:val="00FB373B"/>
    <w:rsid w:val="00FB383A"/>
    <w:rsid w:val="00FB410B"/>
    <w:rsid w:val="00FB48C8"/>
    <w:rsid w:val="00FB608A"/>
    <w:rsid w:val="00FB611F"/>
    <w:rsid w:val="00FB6375"/>
    <w:rsid w:val="00FC1C9D"/>
    <w:rsid w:val="00FC20C6"/>
    <w:rsid w:val="00FC3401"/>
    <w:rsid w:val="00FC4632"/>
    <w:rsid w:val="00FC4A6D"/>
    <w:rsid w:val="00FC5270"/>
    <w:rsid w:val="00FC6046"/>
    <w:rsid w:val="00FC7785"/>
    <w:rsid w:val="00FC7831"/>
    <w:rsid w:val="00FD0A3E"/>
    <w:rsid w:val="00FD2A67"/>
    <w:rsid w:val="00FD2CB1"/>
    <w:rsid w:val="00FD3F48"/>
    <w:rsid w:val="00FD59B2"/>
    <w:rsid w:val="00FD6C64"/>
    <w:rsid w:val="00FD7AB1"/>
    <w:rsid w:val="00FD7EE0"/>
    <w:rsid w:val="00FE02C7"/>
    <w:rsid w:val="00FE0BB1"/>
    <w:rsid w:val="00FE2612"/>
    <w:rsid w:val="00FE46A1"/>
    <w:rsid w:val="00FE54FC"/>
    <w:rsid w:val="00FF11BD"/>
    <w:rsid w:val="00FF380F"/>
    <w:rsid w:val="00FF4260"/>
    <w:rsid w:val="00FF4493"/>
    <w:rsid w:val="00FF5C2C"/>
    <w:rsid w:val="00FF6FD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B9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87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Para1"/>
    <w:link w:val="Heading1Char"/>
    <w:qFormat/>
    <w:rsid w:val="0007387C"/>
    <w:pPr>
      <w:keepNext/>
      <w:pBdr>
        <w:top w:val="nil"/>
        <w:left w:val="nil"/>
        <w:bottom w:val="nil"/>
        <w:right w:val="nil"/>
        <w:between w:val="nil"/>
        <w:bar w:val="nil"/>
      </w:pBdr>
      <w:spacing w:before="240" w:after="120"/>
      <w:outlineLvl w:val="0"/>
    </w:pPr>
    <w:rPr>
      <w:rFonts w:ascii="Times New Roman Bold" w:eastAsia="Arial Unicode MS" w:hAnsi="Arial Unicode MS" w:cs="Arial Unicode MS"/>
      <w:caps/>
      <w:color w:val="000000"/>
      <w:sz w:val="26"/>
      <w:szCs w:val="26"/>
      <w:u w:color="000000"/>
      <w:bdr w:val="nil"/>
    </w:rPr>
  </w:style>
  <w:style w:type="paragraph" w:styleId="Heading2">
    <w:name w:val="heading 2"/>
    <w:next w:val="Para1"/>
    <w:link w:val="Heading2Char"/>
    <w:qFormat/>
    <w:rsid w:val="0007387C"/>
    <w:pPr>
      <w:keepNext/>
      <w:pBdr>
        <w:top w:val="nil"/>
        <w:left w:val="nil"/>
        <w:bottom w:val="nil"/>
        <w:right w:val="nil"/>
        <w:between w:val="nil"/>
        <w:bar w:val="nil"/>
      </w:pBdr>
      <w:spacing w:before="240" w:after="120"/>
      <w:outlineLvl w:val="1"/>
    </w:pPr>
    <w:rPr>
      <w:rFonts w:ascii="Times New Roman Bold" w:eastAsia="Arial Unicode MS" w:hAnsi="Arial Unicode MS" w:cs="Arial Unicode MS"/>
      <w:color w:val="000000"/>
      <w:sz w:val="26"/>
      <w:szCs w:val="26"/>
      <w:u w:color="000000"/>
      <w:bdr w:val="nil"/>
    </w:rPr>
  </w:style>
  <w:style w:type="paragraph" w:styleId="Heading3">
    <w:name w:val="heading 3"/>
    <w:basedOn w:val="Heading2"/>
    <w:next w:val="Para1"/>
    <w:link w:val="Heading3Char"/>
    <w:qFormat/>
    <w:rsid w:val="006405DB"/>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7C"/>
    <w:rPr>
      <w:rFonts w:ascii="Times New Roman Bold" w:eastAsia="Arial Unicode MS" w:hAnsi="Arial Unicode MS" w:cs="Arial Unicode MS"/>
      <w:caps/>
      <w:color w:val="000000"/>
      <w:sz w:val="26"/>
      <w:szCs w:val="26"/>
      <w:u w:color="000000"/>
      <w:bdr w:val="nil"/>
    </w:rPr>
  </w:style>
  <w:style w:type="character" w:customStyle="1" w:styleId="Heading2Char">
    <w:name w:val="Heading 2 Char"/>
    <w:basedOn w:val="DefaultParagraphFont"/>
    <w:link w:val="Heading2"/>
    <w:rsid w:val="0007387C"/>
    <w:rPr>
      <w:rFonts w:ascii="Times New Roman Bold" w:eastAsia="Arial Unicode MS" w:hAnsi="Arial Unicode MS" w:cs="Arial Unicode MS"/>
      <w:color w:val="000000"/>
      <w:sz w:val="26"/>
      <w:szCs w:val="26"/>
      <w:u w:color="000000"/>
      <w:bdr w:val="nil"/>
    </w:rPr>
  </w:style>
  <w:style w:type="paragraph" w:customStyle="1" w:styleId="Para1">
    <w:name w:val="Para 1"/>
    <w:link w:val="Para1Char"/>
    <w:rsid w:val="0007387C"/>
    <w:pPr>
      <w:numPr>
        <w:numId w:val="7"/>
      </w:numPr>
      <w:pBdr>
        <w:top w:val="nil"/>
        <w:left w:val="nil"/>
        <w:bottom w:val="nil"/>
        <w:right w:val="nil"/>
        <w:between w:val="nil"/>
        <w:bar w:val="nil"/>
      </w:pBdr>
      <w:tabs>
        <w:tab w:val="left" w:pos="567"/>
      </w:tabs>
      <w:spacing w:after="120" w:line="300" w:lineRule="atLeast"/>
      <w:jc w:val="both"/>
    </w:pPr>
    <w:rPr>
      <w:rFonts w:ascii="Times New Roman" w:eastAsia="Arial Unicode MS" w:hAnsi="Arial Unicode MS" w:cs="Arial Unicode MS"/>
      <w:color w:val="000000"/>
      <w:u w:color="000000"/>
      <w:bdr w:val="nil"/>
    </w:rPr>
  </w:style>
  <w:style w:type="paragraph" w:customStyle="1" w:styleId="Permit1">
    <w:name w:val="Permit 1"/>
    <w:rsid w:val="0007387C"/>
    <w:pPr>
      <w:pBdr>
        <w:top w:val="nil"/>
        <w:left w:val="nil"/>
        <w:bottom w:val="nil"/>
        <w:right w:val="nil"/>
        <w:between w:val="nil"/>
        <w:bar w:val="nil"/>
      </w:pBdr>
      <w:spacing w:after="120"/>
      <w:jc w:val="both"/>
    </w:pPr>
    <w:rPr>
      <w:rFonts w:ascii="Times New Roman" w:eastAsia="Arial Unicode MS" w:hAnsi="Arial Unicode MS" w:cs="Arial Unicode MS"/>
      <w:color w:val="000000"/>
      <w:u w:color="000000"/>
      <w:bdr w:val="nil"/>
    </w:rPr>
  </w:style>
  <w:style w:type="numbering" w:customStyle="1" w:styleId="ImportedStyle1">
    <w:name w:val="Imported Style 1"/>
    <w:rsid w:val="0007387C"/>
    <w:pPr>
      <w:numPr>
        <w:numId w:val="2"/>
      </w:numPr>
    </w:pPr>
  </w:style>
  <w:style w:type="paragraph" w:styleId="Footer">
    <w:name w:val="footer"/>
    <w:link w:val="FooterChar"/>
    <w:rsid w:val="0007387C"/>
    <w:pPr>
      <w:pBdr>
        <w:top w:val="nil"/>
        <w:left w:val="nil"/>
        <w:bottom w:val="nil"/>
        <w:right w:val="nil"/>
        <w:between w:val="nil"/>
        <w:bar w:val="nil"/>
      </w:pBdr>
      <w:tabs>
        <w:tab w:val="center" w:pos="4896"/>
        <w:tab w:val="right" w:pos="9792"/>
      </w:tabs>
      <w:spacing w:before="20"/>
    </w:pPr>
    <w:rPr>
      <w:rFonts w:ascii="Times New Roman" w:eastAsia="Arial Unicode MS" w:hAnsi="Arial Unicode MS" w:cs="Arial Unicode MS"/>
      <w:color w:val="000000"/>
      <w:sz w:val="20"/>
      <w:szCs w:val="20"/>
      <w:u w:color="000000"/>
      <w:bdr w:val="nil"/>
    </w:rPr>
  </w:style>
  <w:style w:type="character" w:customStyle="1" w:styleId="FooterChar">
    <w:name w:val="Footer Char"/>
    <w:basedOn w:val="DefaultParagraphFont"/>
    <w:link w:val="Footer"/>
    <w:rsid w:val="0007387C"/>
    <w:rPr>
      <w:rFonts w:ascii="Times New Roman"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07387C"/>
    <w:pPr>
      <w:ind w:left="720"/>
      <w:contextualSpacing/>
    </w:pPr>
  </w:style>
  <w:style w:type="paragraph" w:styleId="BalloonText">
    <w:name w:val="Balloon Text"/>
    <w:basedOn w:val="Normal"/>
    <w:link w:val="BalloonTextChar"/>
    <w:semiHidden/>
    <w:unhideWhenUsed/>
    <w:rsid w:val="0007387C"/>
    <w:rPr>
      <w:rFonts w:ascii="Tahoma" w:hAnsi="Tahoma" w:cs="Tahoma"/>
      <w:sz w:val="16"/>
      <w:szCs w:val="16"/>
    </w:rPr>
  </w:style>
  <w:style w:type="character" w:customStyle="1" w:styleId="BalloonTextChar">
    <w:name w:val="Balloon Text Char"/>
    <w:basedOn w:val="DefaultParagraphFont"/>
    <w:link w:val="BalloonText"/>
    <w:semiHidden/>
    <w:rsid w:val="0007387C"/>
    <w:rPr>
      <w:rFonts w:ascii="Tahoma" w:eastAsia="Arial Unicode MS" w:hAnsi="Tahoma" w:cs="Tahoma"/>
      <w:color w:val="000000"/>
      <w:sz w:val="16"/>
      <w:szCs w:val="16"/>
      <w:u w:color="000000"/>
      <w:bdr w:val="nil"/>
    </w:rPr>
  </w:style>
  <w:style w:type="character" w:styleId="Strong">
    <w:name w:val="Strong"/>
    <w:basedOn w:val="DefaultParagraphFont"/>
    <w:rsid w:val="00D24847"/>
    <w:rPr>
      <w:b/>
      <w:bCs/>
    </w:rPr>
  </w:style>
  <w:style w:type="character" w:customStyle="1" w:styleId="Heading3Char">
    <w:name w:val="Heading 3 Char"/>
    <w:basedOn w:val="DefaultParagraphFont"/>
    <w:link w:val="Heading3"/>
    <w:rsid w:val="006405DB"/>
    <w:rPr>
      <w:rFonts w:ascii="Times New Roman" w:eastAsia="Times New Roman" w:hAnsi="Times New Roman" w:cs="Times New Roman"/>
      <w:b/>
      <w:bCs/>
      <w:iCs/>
      <w:lang w:val="en-AU"/>
    </w:rPr>
  </w:style>
  <w:style w:type="paragraph" w:customStyle="1" w:styleId="subheading">
    <w:name w:val="sub_heading"/>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pPr>
    <w:rPr>
      <w:rFonts w:ascii="Arial" w:eastAsia="Times New Roman" w:hAnsi="Arial" w:cs="Arial"/>
      <w:b/>
      <w:bCs/>
      <w:bdr w:val="none" w:sz="0" w:space="0" w:color="auto"/>
      <w:lang w:val="en-AU" w:eastAsia="en-AU"/>
    </w:rPr>
  </w:style>
  <w:style w:type="paragraph" w:customStyle="1" w:styleId="standard">
    <w:name w:val="standard"/>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60" w:after="100" w:afterAutospacing="1"/>
    </w:pPr>
    <w:rPr>
      <w:rFonts w:ascii="Arial" w:eastAsia="Times New Roman" w:hAnsi="Arial" w:cs="Arial"/>
      <w:bdr w:val="none" w:sz="0" w:space="0" w:color="auto"/>
      <w:lang w:val="en-AU" w:eastAsia="en-AU"/>
    </w:rPr>
  </w:style>
  <w:style w:type="paragraph" w:styleId="NormalWeb">
    <w:name w:val="Normal (Web)"/>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AU" w:eastAsia="en-AU"/>
    </w:rPr>
  </w:style>
  <w:style w:type="paragraph" w:styleId="HTMLPreformatted">
    <w:name w:val="HTML Preformatted"/>
    <w:basedOn w:val="Normal"/>
    <w:link w:val="HTMLPreformattedChar"/>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AU" w:eastAsia="en-AU"/>
    </w:rPr>
  </w:style>
  <w:style w:type="character" w:customStyle="1" w:styleId="HTMLPreformattedChar">
    <w:name w:val="HTML Preformatted Char"/>
    <w:basedOn w:val="DefaultParagraphFont"/>
    <w:link w:val="HTMLPreformatted"/>
    <w:rsid w:val="006405DB"/>
    <w:rPr>
      <w:rFonts w:ascii="Courier New" w:eastAsia="Times New Roman" w:hAnsi="Courier New" w:cs="Courier New"/>
      <w:sz w:val="20"/>
      <w:szCs w:val="20"/>
      <w:lang w:val="en-AU" w:eastAsia="en-AU"/>
    </w:rPr>
  </w:style>
  <w:style w:type="paragraph" w:styleId="Header">
    <w:name w:val="header"/>
    <w:basedOn w:val="Normal"/>
    <w:link w:val="HeaderChar"/>
    <w:uiPriority w:val="99"/>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hAnsi="Times New Roman" w:cs="Times New Roman"/>
      <w:color w:val="auto"/>
      <w:bdr w:val="none" w:sz="0" w:space="0" w:color="auto"/>
      <w:lang w:val="en-AU"/>
    </w:rPr>
  </w:style>
  <w:style w:type="character" w:customStyle="1" w:styleId="HeaderChar">
    <w:name w:val="Header Char"/>
    <w:basedOn w:val="DefaultParagraphFont"/>
    <w:link w:val="Header"/>
    <w:uiPriority w:val="99"/>
    <w:rsid w:val="006405DB"/>
    <w:rPr>
      <w:rFonts w:ascii="Times New Roman" w:eastAsia="Times New Roman" w:hAnsi="Times New Roman" w:cs="Times New Roman"/>
      <w:lang w:val="en-AU"/>
    </w:rPr>
  </w:style>
  <w:style w:type="character" w:styleId="PageNumber">
    <w:name w:val="page number"/>
    <w:basedOn w:val="DefaultParagraphFont"/>
    <w:rsid w:val="006405DB"/>
  </w:style>
  <w:style w:type="character" w:styleId="CommentReference">
    <w:name w:val="annotation reference"/>
    <w:basedOn w:val="DefaultParagraphFont"/>
    <w:rsid w:val="006405DB"/>
    <w:rPr>
      <w:sz w:val="16"/>
      <w:szCs w:val="16"/>
    </w:rPr>
  </w:style>
  <w:style w:type="paragraph" w:styleId="CommentText">
    <w:name w:val="annotation text"/>
    <w:basedOn w:val="Normal"/>
    <w:link w:val="CommentTextChar"/>
    <w:rsid w:val="006405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AU"/>
    </w:rPr>
  </w:style>
  <w:style w:type="character" w:customStyle="1" w:styleId="CommentTextChar">
    <w:name w:val="Comment Text Char"/>
    <w:basedOn w:val="DefaultParagraphFont"/>
    <w:link w:val="CommentText"/>
    <w:rsid w:val="006405D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rsid w:val="006405DB"/>
    <w:rPr>
      <w:b/>
      <w:bCs/>
    </w:rPr>
  </w:style>
  <w:style w:type="character" w:customStyle="1" w:styleId="CommentSubjectChar">
    <w:name w:val="Comment Subject Char"/>
    <w:basedOn w:val="CommentTextChar"/>
    <w:link w:val="CommentSubject"/>
    <w:rsid w:val="006405DB"/>
    <w:rPr>
      <w:rFonts w:ascii="Times New Roman" w:eastAsia="Times New Roman" w:hAnsi="Times New Roman" w:cs="Times New Roman"/>
      <w:b/>
      <w:bCs/>
      <w:sz w:val="20"/>
      <w:szCs w:val="20"/>
      <w:lang w:val="en-AU"/>
    </w:rPr>
  </w:style>
  <w:style w:type="paragraph" w:styleId="Revision">
    <w:name w:val="Revision"/>
    <w:hidden/>
    <w:uiPriority w:val="99"/>
    <w:rsid w:val="006405DB"/>
    <w:rPr>
      <w:rFonts w:ascii="Times New Roman" w:eastAsia="Times New Roman" w:hAnsi="Times New Roman" w:cs="Times New Roman"/>
      <w:lang w:val="en-AU"/>
    </w:rPr>
  </w:style>
  <w:style w:type="paragraph" w:styleId="FootnoteText">
    <w:name w:val="footnote text"/>
    <w:basedOn w:val="Normal"/>
    <w:link w:val="FootnoteTextChar"/>
    <w:semiHidden/>
    <w:unhideWhenUsed/>
    <w:rsid w:val="009E5CEA"/>
    <w:rPr>
      <w:sz w:val="20"/>
      <w:szCs w:val="20"/>
    </w:rPr>
  </w:style>
  <w:style w:type="character" w:customStyle="1" w:styleId="FootnoteTextChar">
    <w:name w:val="Footnote Text Char"/>
    <w:basedOn w:val="DefaultParagraphFont"/>
    <w:link w:val="FootnoteText"/>
    <w:semiHidden/>
    <w:rsid w:val="009E5CEA"/>
    <w:rPr>
      <w:rFonts w:ascii="Times New Roman" w:eastAsia="Arial Unicode MS" w:hAnsi="Arial Unicode MS" w:cs="Arial Unicode MS"/>
      <w:color w:val="000000"/>
      <w:sz w:val="20"/>
      <w:szCs w:val="20"/>
      <w:u w:color="000000"/>
      <w:bdr w:val="nil"/>
    </w:rPr>
  </w:style>
  <w:style w:type="character" w:styleId="FootnoteReference">
    <w:name w:val="footnote reference"/>
    <w:basedOn w:val="DefaultParagraphFont"/>
    <w:semiHidden/>
    <w:unhideWhenUsed/>
    <w:rsid w:val="009E5CEA"/>
    <w:rPr>
      <w:vertAlign w:val="superscript"/>
    </w:rPr>
  </w:style>
  <w:style w:type="character" w:styleId="IntenseEmphasis">
    <w:name w:val="Intense Emphasis"/>
    <w:basedOn w:val="DefaultParagraphFont"/>
    <w:uiPriority w:val="21"/>
    <w:qFormat/>
    <w:rsid w:val="00B31AB8"/>
    <w:rPr>
      <w:i/>
      <w:iCs/>
      <w:color w:val="4F81BD" w:themeColor="accent1"/>
    </w:rPr>
  </w:style>
  <w:style w:type="paragraph" w:customStyle="1" w:styleId="Style1">
    <w:name w:val="Style1"/>
    <w:basedOn w:val="Para1"/>
    <w:link w:val="Style1Char"/>
    <w:qFormat/>
    <w:rsid w:val="006A6049"/>
    <w:pPr>
      <w:numPr>
        <w:numId w:val="0"/>
      </w:numPr>
      <w:ind w:left="720"/>
    </w:pPr>
    <w:rPr>
      <w:rFonts w:hAnsi="Times New Roman" w:cs="Times New Roman"/>
    </w:rPr>
  </w:style>
  <w:style w:type="character" w:customStyle="1" w:styleId="Para1Char">
    <w:name w:val="Para 1 Char"/>
    <w:basedOn w:val="DefaultParagraphFont"/>
    <w:link w:val="Para1"/>
    <w:rsid w:val="006A6049"/>
    <w:rPr>
      <w:rFonts w:ascii="Times New Roman" w:eastAsia="Arial Unicode MS" w:hAnsi="Arial Unicode MS" w:cs="Arial Unicode MS"/>
      <w:color w:val="000000"/>
      <w:u w:color="000000"/>
      <w:bdr w:val="nil"/>
    </w:rPr>
  </w:style>
  <w:style w:type="character" w:customStyle="1" w:styleId="Style1Char">
    <w:name w:val="Style1 Char"/>
    <w:basedOn w:val="Para1Char"/>
    <w:link w:val="Style1"/>
    <w:rsid w:val="006A6049"/>
    <w:rPr>
      <w:rFonts w:ascii="Times New Roman" w:eastAsia="Arial Unicode MS" w:hAnsi="Times New Roman" w:cs="Times New Roman"/>
      <w:color w:val="000000"/>
      <w:u w:color="000000"/>
      <w:bdr w:val="nil"/>
    </w:rPr>
  </w:style>
  <w:style w:type="table" w:styleId="TableGrid">
    <w:name w:val="Table Grid"/>
    <w:basedOn w:val="TableNormal"/>
    <w:rsid w:val="00D2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87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Para1"/>
    <w:link w:val="Heading1Char"/>
    <w:qFormat/>
    <w:rsid w:val="0007387C"/>
    <w:pPr>
      <w:keepNext/>
      <w:pBdr>
        <w:top w:val="nil"/>
        <w:left w:val="nil"/>
        <w:bottom w:val="nil"/>
        <w:right w:val="nil"/>
        <w:between w:val="nil"/>
        <w:bar w:val="nil"/>
      </w:pBdr>
      <w:spacing w:before="240" w:after="120"/>
      <w:outlineLvl w:val="0"/>
    </w:pPr>
    <w:rPr>
      <w:rFonts w:ascii="Times New Roman Bold" w:eastAsia="Arial Unicode MS" w:hAnsi="Arial Unicode MS" w:cs="Arial Unicode MS"/>
      <w:caps/>
      <w:color w:val="000000"/>
      <w:sz w:val="26"/>
      <w:szCs w:val="26"/>
      <w:u w:color="000000"/>
      <w:bdr w:val="nil"/>
    </w:rPr>
  </w:style>
  <w:style w:type="paragraph" w:styleId="Heading2">
    <w:name w:val="heading 2"/>
    <w:next w:val="Para1"/>
    <w:link w:val="Heading2Char"/>
    <w:qFormat/>
    <w:rsid w:val="0007387C"/>
    <w:pPr>
      <w:keepNext/>
      <w:pBdr>
        <w:top w:val="nil"/>
        <w:left w:val="nil"/>
        <w:bottom w:val="nil"/>
        <w:right w:val="nil"/>
        <w:between w:val="nil"/>
        <w:bar w:val="nil"/>
      </w:pBdr>
      <w:spacing w:before="240" w:after="120"/>
      <w:outlineLvl w:val="1"/>
    </w:pPr>
    <w:rPr>
      <w:rFonts w:ascii="Times New Roman Bold" w:eastAsia="Arial Unicode MS" w:hAnsi="Arial Unicode MS" w:cs="Arial Unicode MS"/>
      <w:color w:val="000000"/>
      <w:sz w:val="26"/>
      <w:szCs w:val="26"/>
      <w:u w:color="000000"/>
      <w:bdr w:val="nil"/>
    </w:rPr>
  </w:style>
  <w:style w:type="paragraph" w:styleId="Heading3">
    <w:name w:val="heading 3"/>
    <w:basedOn w:val="Heading2"/>
    <w:next w:val="Para1"/>
    <w:link w:val="Heading3Char"/>
    <w:qFormat/>
    <w:rsid w:val="006405DB"/>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7C"/>
    <w:rPr>
      <w:rFonts w:ascii="Times New Roman Bold" w:eastAsia="Arial Unicode MS" w:hAnsi="Arial Unicode MS" w:cs="Arial Unicode MS"/>
      <w:caps/>
      <w:color w:val="000000"/>
      <w:sz w:val="26"/>
      <w:szCs w:val="26"/>
      <w:u w:color="000000"/>
      <w:bdr w:val="nil"/>
    </w:rPr>
  </w:style>
  <w:style w:type="character" w:customStyle="1" w:styleId="Heading2Char">
    <w:name w:val="Heading 2 Char"/>
    <w:basedOn w:val="DefaultParagraphFont"/>
    <w:link w:val="Heading2"/>
    <w:rsid w:val="0007387C"/>
    <w:rPr>
      <w:rFonts w:ascii="Times New Roman Bold" w:eastAsia="Arial Unicode MS" w:hAnsi="Arial Unicode MS" w:cs="Arial Unicode MS"/>
      <w:color w:val="000000"/>
      <w:sz w:val="26"/>
      <w:szCs w:val="26"/>
      <w:u w:color="000000"/>
      <w:bdr w:val="nil"/>
    </w:rPr>
  </w:style>
  <w:style w:type="paragraph" w:customStyle="1" w:styleId="Para1">
    <w:name w:val="Para 1"/>
    <w:link w:val="Para1Char"/>
    <w:rsid w:val="0007387C"/>
    <w:pPr>
      <w:numPr>
        <w:numId w:val="7"/>
      </w:numPr>
      <w:pBdr>
        <w:top w:val="nil"/>
        <w:left w:val="nil"/>
        <w:bottom w:val="nil"/>
        <w:right w:val="nil"/>
        <w:between w:val="nil"/>
        <w:bar w:val="nil"/>
      </w:pBdr>
      <w:tabs>
        <w:tab w:val="left" w:pos="567"/>
      </w:tabs>
      <w:spacing w:after="120" w:line="300" w:lineRule="atLeast"/>
      <w:jc w:val="both"/>
    </w:pPr>
    <w:rPr>
      <w:rFonts w:ascii="Times New Roman" w:eastAsia="Arial Unicode MS" w:hAnsi="Arial Unicode MS" w:cs="Arial Unicode MS"/>
      <w:color w:val="000000"/>
      <w:u w:color="000000"/>
      <w:bdr w:val="nil"/>
    </w:rPr>
  </w:style>
  <w:style w:type="paragraph" w:customStyle="1" w:styleId="Permit1">
    <w:name w:val="Permit 1"/>
    <w:rsid w:val="0007387C"/>
    <w:pPr>
      <w:pBdr>
        <w:top w:val="nil"/>
        <w:left w:val="nil"/>
        <w:bottom w:val="nil"/>
        <w:right w:val="nil"/>
        <w:between w:val="nil"/>
        <w:bar w:val="nil"/>
      </w:pBdr>
      <w:spacing w:after="120"/>
      <w:jc w:val="both"/>
    </w:pPr>
    <w:rPr>
      <w:rFonts w:ascii="Times New Roman" w:eastAsia="Arial Unicode MS" w:hAnsi="Arial Unicode MS" w:cs="Arial Unicode MS"/>
      <w:color w:val="000000"/>
      <w:u w:color="000000"/>
      <w:bdr w:val="nil"/>
    </w:rPr>
  </w:style>
  <w:style w:type="numbering" w:customStyle="1" w:styleId="ImportedStyle1">
    <w:name w:val="Imported Style 1"/>
    <w:rsid w:val="0007387C"/>
    <w:pPr>
      <w:numPr>
        <w:numId w:val="2"/>
      </w:numPr>
    </w:pPr>
  </w:style>
  <w:style w:type="paragraph" w:styleId="Footer">
    <w:name w:val="footer"/>
    <w:link w:val="FooterChar"/>
    <w:rsid w:val="0007387C"/>
    <w:pPr>
      <w:pBdr>
        <w:top w:val="nil"/>
        <w:left w:val="nil"/>
        <w:bottom w:val="nil"/>
        <w:right w:val="nil"/>
        <w:between w:val="nil"/>
        <w:bar w:val="nil"/>
      </w:pBdr>
      <w:tabs>
        <w:tab w:val="center" w:pos="4896"/>
        <w:tab w:val="right" w:pos="9792"/>
      </w:tabs>
      <w:spacing w:before="20"/>
    </w:pPr>
    <w:rPr>
      <w:rFonts w:ascii="Times New Roman" w:eastAsia="Arial Unicode MS" w:hAnsi="Arial Unicode MS" w:cs="Arial Unicode MS"/>
      <w:color w:val="000000"/>
      <w:sz w:val="20"/>
      <w:szCs w:val="20"/>
      <w:u w:color="000000"/>
      <w:bdr w:val="nil"/>
    </w:rPr>
  </w:style>
  <w:style w:type="character" w:customStyle="1" w:styleId="FooterChar">
    <w:name w:val="Footer Char"/>
    <w:basedOn w:val="DefaultParagraphFont"/>
    <w:link w:val="Footer"/>
    <w:rsid w:val="0007387C"/>
    <w:rPr>
      <w:rFonts w:ascii="Times New Roman"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07387C"/>
    <w:pPr>
      <w:ind w:left="720"/>
      <w:contextualSpacing/>
    </w:pPr>
  </w:style>
  <w:style w:type="paragraph" w:styleId="BalloonText">
    <w:name w:val="Balloon Text"/>
    <w:basedOn w:val="Normal"/>
    <w:link w:val="BalloonTextChar"/>
    <w:semiHidden/>
    <w:unhideWhenUsed/>
    <w:rsid w:val="0007387C"/>
    <w:rPr>
      <w:rFonts w:ascii="Tahoma" w:hAnsi="Tahoma" w:cs="Tahoma"/>
      <w:sz w:val="16"/>
      <w:szCs w:val="16"/>
    </w:rPr>
  </w:style>
  <w:style w:type="character" w:customStyle="1" w:styleId="BalloonTextChar">
    <w:name w:val="Balloon Text Char"/>
    <w:basedOn w:val="DefaultParagraphFont"/>
    <w:link w:val="BalloonText"/>
    <w:semiHidden/>
    <w:rsid w:val="0007387C"/>
    <w:rPr>
      <w:rFonts w:ascii="Tahoma" w:eastAsia="Arial Unicode MS" w:hAnsi="Tahoma" w:cs="Tahoma"/>
      <w:color w:val="000000"/>
      <w:sz w:val="16"/>
      <w:szCs w:val="16"/>
      <w:u w:color="000000"/>
      <w:bdr w:val="nil"/>
    </w:rPr>
  </w:style>
  <w:style w:type="character" w:styleId="Strong">
    <w:name w:val="Strong"/>
    <w:basedOn w:val="DefaultParagraphFont"/>
    <w:rsid w:val="00D24847"/>
    <w:rPr>
      <w:b/>
      <w:bCs/>
    </w:rPr>
  </w:style>
  <w:style w:type="character" w:customStyle="1" w:styleId="Heading3Char">
    <w:name w:val="Heading 3 Char"/>
    <w:basedOn w:val="DefaultParagraphFont"/>
    <w:link w:val="Heading3"/>
    <w:rsid w:val="006405DB"/>
    <w:rPr>
      <w:rFonts w:ascii="Times New Roman" w:eastAsia="Times New Roman" w:hAnsi="Times New Roman" w:cs="Times New Roman"/>
      <w:b/>
      <w:bCs/>
      <w:iCs/>
      <w:lang w:val="en-AU"/>
    </w:rPr>
  </w:style>
  <w:style w:type="paragraph" w:customStyle="1" w:styleId="subheading">
    <w:name w:val="sub_heading"/>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pPr>
    <w:rPr>
      <w:rFonts w:ascii="Arial" w:eastAsia="Times New Roman" w:hAnsi="Arial" w:cs="Arial"/>
      <w:b/>
      <w:bCs/>
      <w:bdr w:val="none" w:sz="0" w:space="0" w:color="auto"/>
      <w:lang w:val="en-AU" w:eastAsia="en-AU"/>
    </w:rPr>
  </w:style>
  <w:style w:type="paragraph" w:customStyle="1" w:styleId="standard">
    <w:name w:val="standard"/>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60" w:after="100" w:afterAutospacing="1"/>
    </w:pPr>
    <w:rPr>
      <w:rFonts w:ascii="Arial" w:eastAsia="Times New Roman" w:hAnsi="Arial" w:cs="Arial"/>
      <w:bdr w:val="none" w:sz="0" w:space="0" w:color="auto"/>
      <w:lang w:val="en-AU" w:eastAsia="en-AU"/>
    </w:rPr>
  </w:style>
  <w:style w:type="paragraph" w:styleId="NormalWeb">
    <w:name w:val="Normal (Web)"/>
    <w:basedOn w:val="Normal"/>
    <w:rsid w:val="006405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AU" w:eastAsia="en-AU"/>
    </w:rPr>
  </w:style>
  <w:style w:type="paragraph" w:styleId="HTMLPreformatted">
    <w:name w:val="HTML Preformatted"/>
    <w:basedOn w:val="Normal"/>
    <w:link w:val="HTMLPreformattedChar"/>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AU" w:eastAsia="en-AU"/>
    </w:rPr>
  </w:style>
  <w:style w:type="character" w:customStyle="1" w:styleId="HTMLPreformattedChar">
    <w:name w:val="HTML Preformatted Char"/>
    <w:basedOn w:val="DefaultParagraphFont"/>
    <w:link w:val="HTMLPreformatted"/>
    <w:rsid w:val="006405DB"/>
    <w:rPr>
      <w:rFonts w:ascii="Courier New" w:eastAsia="Times New Roman" w:hAnsi="Courier New" w:cs="Courier New"/>
      <w:sz w:val="20"/>
      <w:szCs w:val="20"/>
      <w:lang w:val="en-AU" w:eastAsia="en-AU"/>
    </w:rPr>
  </w:style>
  <w:style w:type="paragraph" w:styleId="Header">
    <w:name w:val="header"/>
    <w:basedOn w:val="Normal"/>
    <w:link w:val="HeaderChar"/>
    <w:uiPriority w:val="99"/>
    <w:rsid w:val="006405DB"/>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hAnsi="Times New Roman" w:cs="Times New Roman"/>
      <w:color w:val="auto"/>
      <w:bdr w:val="none" w:sz="0" w:space="0" w:color="auto"/>
      <w:lang w:val="en-AU"/>
    </w:rPr>
  </w:style>
  <w:style w:type="character" w:customStyle="1" w:styleId="HeaderChar">
    <w:name w:val="Header Char"/>
    <w:basedOn w:val="DefaultParagraphFont"/>
    <w:link w:val="Header"/>
    <w:uiPriority w:val="99"/>
    <w:rsid w:val="006405DB"/>
    <w:rPr>
      <w:rFonts w:ascii="Times New Roman" w:eastAsia="Times New Roman" w:hAnsi="Times New Roman" w:cs="Times New Roman"/>
      <w:lang w:val="en-AU"/>
    </w:rPr>
  </w:style>
  <w:style w:type="character" w:styleId="PageNumber">
    <w:name w:val="page number"/>
    <w:basedOn w:val="DefaultParagraphFont"/>
    <w:rsid w:val="006405DB"/>
  </w:style>
  <w:style w:type="character" w:styleId="CommentReference">
    <w:name w:val="annotation reference"/>
    <w:basedOn w:val="DefaultParagraphFont"/>
    <w:rsid w:val="006405DB"/>
    <w:rPr>
      <w:sz w:val="16"/>
      <w:szCs w:val="16"/>
    </w:rPr>
  </w:style>
  <w:style w:type="paragraph" w:styleId="CommentText">
    <w:name w:val="annotation text"/>
    <w:basedOn w:val="Normal"/>
    <w:link w:val="CommentTextChar"/>
    <w:rsid w:val="006405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AU"/>
    </w:rPr>
  </w:style>
  <w:style w:type="character" w:customStyle="1" w:styleId="CommentTextChar">
    <w:name w:val="Comment Text Char"/>
    <w:basedOn w:val="DefaultParagraphFont"/>
    <w:link w:val="CommentText"/>
    <w:rsid w:val="006405D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rsid w:val="006405DB"/>
    <w:rPr>
      <w:b/>
      <w:bCs/>
    </w:rPr>
  </w:style>
  <w:style w:type="character" w:customStyle="1" w:styleId="CommentSubjectChar">
    <w:name w:val="Comment Subject Char"/>
    <w:basedOn w:val="CommentTextChar"/>
    <w:link w:val="CommentSubject"/>
    <w:rsid w:val="006405DB"/>
    <w:rPr>
      <w:rFonts w:ascii="Times New Roman" w:eastAsia="Times New Roman" w:hAnsi="Times New Roman" w:cs="Times New Roman"/>
      <w:b/>
      <w:bCs/>
      <w:sz w:val="20"/>
      <w:szCs w:val="20"/>
      <w:lang w:val="en-AU"/>
    </w:rPr>
  </w:style>
  <w:style w:type="paragraph" w:styleId="Revision">
    <w:name w:val="Revision"/>
    <w:hidden/>
    <w:uiPriority w:val="99"/>
    <w:rsid w:val="006405DB"/>
    <w:rPr>
      <w:rFonts w:ascii="Times New Roman" w:eastAsia="Times New Roman" w:hAnsi="Times New Roman" w:cs="Times New Roman"/>
      <w:lang w:val="en-AU"/>
    </w:rPr>
  </w:style>
  <w:style w:type="paragraph" w:styleId="FootnoteText">
    <w:name w:val="footnote text"/>
    <w:basedOn w:val="Normal"/>
    <w:link w:val="FootnoteTextChar"/>
    <w:semiHidden/>
    <w:unhideWhenUsed/>
    <w:rsid w:val="009E5CEA"/>
    <w:rPr>
      <w:sz w:val="20"/>
      <w:szCs w:val="20"/>
    </w:rPr>
  </w:style>
  <w:style w:type="character" w:customStyle="1" w:styleId="FootnoteTextChar">
    <w:name w:val="Footnote Text Char"/>
    <w:basedOn w:val="DefaultParagraphFont"/>
    <w:link w:val="FootnoteText"/>
    <w:semiHidden/>
    <w:rsid w:val="009E5CEA"/>
    <w:rPr>
      <w:rFonts w:ascii="Times New Roman" w:eastAsia="Arial Unicode MS" w:hAnsi="Arial Unicode MS" w:cs="Arial Unicode MS"/>
      <w:color w:val="000000"/>
      <w:sz w:val="20"/>
      <w:szCs w:val="20"/>
      <w:u w:color="000000"/>
      <w:bdr w:val="nil"/>
    </w:rPr>
  </w:style>
  <w:style w:type="character" w:styleId="FootnoteReference">
    <w:name w:val="footnote reference"/>
    <w:basedOn w:val="DefaultParagraphFont"/>
    <w:semiHidden/>
    <w:unhideWhenUsed/>
    <w:rsid w:val="009E5CEA"/>
    <w:rPr>
      <w:vertAlign w:val="superscript"/>
    </w:rPr>
  </w:style>
  <w:style w:type="character" w:styleId="IntenseEmphasis">
    <w:name w:val="Intense Emphasis"/>
    <w:basedOn w:val="DefaultParagraphFont"/>
    <w:uiPriority w:val="21"/>
    <w:qFormat/>
    <w:rsid w:val="00B31AB8"/>
    <w:rPr>
      <w:i/>
      <w:iCs/>
      <w:color w:val="4F81BD" w:themeColor="accent1"/>
    </w:rPr>
  </w:style>
  <w:style w:type="paragraph" w:customStyle="1" w:styleId="Style1">
    <w:name w:val="Style1"/>
    <w:basedOn w:val="Para1"/>
    <w:link w:val="Style1Char"/>
    <w:qFormat/>
    <w:rsid w:val="006A6049"/>
    <w:pPr>
      <w:numPr>
        <w:numId w:val="0"/>
      </w:numPr>
      <w:ind w:left="720"/>
    </w:pPr>
    <w:rPr>
      <w:rFonts w:hAnsi="Times New Roman" w:cs="Times New Roman"/>
    </w:rPr>
  </w:style>
  <w:style w:type="character" w:customStyle="1" w:styleId="Para1Char">
    <w:name w:val="Para 1 Char"/>
    <w:basedOn w:val="DefaultParagraphFont"/>
    <w:link w:val="Para1"/>
    <w:rsid w:val="006A6049"/>
    <w:rPr>
      <w:rFonts w:ascii="Times New Roman" w:eastAsia="Arial Unicode MS" w:hAnsi="Arial Unicode MS" w:cs="Arial Unicode MS"/>
      <w:color w:val="000000"/>
      <w:u w:color="000000"/>
      <w:bdr w:val="nil"/>
    </w:rPr>
  </w:style>
  <w:style w:type="character" w:customStyle="1" w:styleId="Style1Char">
    <w:name w:val="Style1 Char"/>
    <w:basedOn w:val="Para1Char"/>
    <w:link w:val="Style1"/>
    <w:rsid w:val="006A6049"/>
    <w:rPr>
      <w:rFonts w:ascii="Times New Roman" w:eastAsia="Arial Unicode MS" w:hAnsi="Times New Roman" w:cs="Times New Roman"/>
      <w:color w:val="000000"/>
      <w:u w:color="000000"/>
      <w:bdr w:val="nil"/>
    </w:rPr>
  </w:style>
  <w:style w:type="table" w:styleId="TableGrid">
    <w:name w:val="Table Grid"/>
    <w:basedOn w:val="TableNormal"/>
    <w:rsid w:val="00D2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24422">
      <w:bodyDiv w:val="1"/>
      <w:marLeft w:val="0"/>
      <w:marRight w:val="0"/>
      <w:marTop w:val="0"/>
      <w:marBottom w:val="0"/>
      <w:divBdr>
        <w:top w:val="none" w:sz="0" w:space="0" w:color="auto"/>
        <w:left w:val="none" w:sz="0" w:space="0" w:color="auto"/>
        <w:bottom w:val="none" w:sz="0" w:space="0" w:color="auto"/>
        <w:right w:val="none" w:sz="0" w:space="0" w:color="auto"/>
      </w:divBdr>
      <w:divsChild>
        <w:div w:id="541481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header" Target="header2.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hyperlink" Target="http://www.austlii.edu.au/au/legis/vic/consol_act/ha199586/s3.html" TargetMode="External"/><Relationship Id="rId10" Type="http://schemas.openxmlformats.org/officeDocument/2006/relationships/image" Target="media/image2.jpeg"/><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F1D8-6880-4008-9BB4-47D5B3B1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9115</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Welch</dc:creator>
  <cp:lastModifiedBy>Damien Welch</cp:lastModifiedBy>
  <cp:revision>3</cp:revision>
  <cp:lastPrinted>2016-08-26T02:02:00Z</cp:lastPrinted>
  <dcterms:created xsi:type="dcterms:W3CDTF">2016-08-26T02:04:00Z</dcterms:created>
  <dcterms:modified xsi:type="dcterms:W3CDTF">2016-08-26T02:05:00Z</dcterms:modified>
</cp:coreProperties>
</file>